
<file path=[Content_Types].xml><?xml version="1.0" encoding="utf-8"?>
<Types xmlns="http://schemas.openxmlformats.org/package/2006/content-types">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9F229" w14:textId="22976106" w:rsidR="007A1904" w:rsidRPr="00B57B9B" w:rsidRDefault="0086010D" w:rsidP="00E40295">
      <w:pPr>
        <w:spacing w:after="240" w:line="360" w:lineRule="auto"/>
        <w:jc w:val="center"/>
        <w:textAlignment w:val="baseline"/>
        <w:rPr>
          <w:rFonts w:ascii="Calibri" w:eastAsia="Arial" w:hAnsi="Calibri" w:cs="Calibri"/>
          <w:b/>
          <w:color w:val="000000"/>
          <w:sz w:val="28"/>
          <w:szCs w:val="28"/>
        </w:rPr>
      </w:pPr>
      <w:r>
        <w:rPr>
          <w:rFonts w:ascii="Calibri" w:eastAsia="Arial" w:hAnsi="Calibri" w:cs="Calibri"/>
          <w:b/>
          <w:color w:val="000000"/>
          <w:sz w:val="28"/>
          <w:szCs w:val="28"/>
        </w:rPr>
        <w:t>How to do judicial review May 2026</w:t>
      </w:r>
    </w:p>
    <w:p w14:paraId="0F37179D" w14:textId="77777777" w:rsidR="00303E7C" w:rsidRPr="00B57B9B" w:rsidRDefault="00303E7C" w:rsidP="00E40295">
      <w:pPr>
        <w:spacing w:after="240" w:line="360" w:lineRule="auto"/>
        <w:jc w:val="center"/>
        <w:textAlignment w:val="baseline"/>
        <w:rPr>
          <w:rFonts w:ascii="Calibri" w:eastAsia="Arial" w:hAnsi="Calibri" w:cs="Calibri"/>
          <w:b/>
          <w:color w:val="000000"/>
          <w:sz w:val="28"/>
          <w:szCs w:val="28"/>
        </w:rPr>
      </w:pPr>
    </w:p>
    <w:p w14:paraId="6BB85E70" w14:textId="501004C4" w:rsidR="00303E7C" w:rsidRPr="00B57B9B" w:rsidRDefault="00B935ED" w:rsidP="00E40295">
      <w:pPr>
        <w:spacing w:after="240" w:line="360" w:lineRule="auto"/>
        <w:ind w:left="72"/>
        <w:jc w:val="center"/>
        <w:textAlignment w:val="baseline"/>
        <w:rPr>
          <w:rFonts w:ascii="Calibri" w:eastAsia="Arial" w:hAnsi="Calibri" w:cs="Calibri"/>
          <w:b/>
          <w:color w:val="000000"/>
          <w:w w:val="95"/>
          <w:sz w:val="28"/>
          <w:szCs w:val="28"/>
        </w:rPr>
      </w:pPr>
      <w:r w:rsidRPr="00B57B9B">
        <w:rPr>
          <w:rFonts w:ascii="Calibri" w:eastAsia="Arial" w:hAnsi="Calibri" w:cs="Calibri"/>
          <w:b/>
          <w:color w:val="000000"/>
          <w:w w:val="95"/>
          <w:sz w:val="28"/>
          <w:szCs w:val="28"/>
        </w:rPr>
        <w:t xml:space="preserve">STEPS IN A JUDICIAL REVIEW CASE, </w:t>
      </w:r>
      <w:r w:rsidR="00303E7C" w:rsidRPr="00B57B9B">
        <w:rPr>
          <w:rFonts w:ascii="Calibri" w:eastAsia="Arial" w:hAnsi="Calibri" w:cs="Calibri"/>
          <w:b/>
          <w:color w:val="000000"/>
          <w:w w:val="95"/>
          <w:sz w:val="28"/>
          <w:szCs w:val="28"/>
        </w:rPr>
        <w:br/>
      </w:r>
      <w:r w:rsidRPr="00B57B9B">
        <w:rPr>
          <w:rFonts w:ascii="Calibri" w:eastAsia="Arial" w:hAnsi="Calibri" w:cs="Calibri"/>
          <w:b/>
          <w:color w:val="000000"/>
          <w:w w:val="95"/>
          <w:sz w:val="28"/>
          <w:szCs w:val="28"/>
        </w:rPr>
        <w:t>FROM LETTER BEFORE CLAIM TO FINAL HEARING</w:t>
      </w:r>
      <w:r w:rsidR="00F41E0B" w:rsidRPr="00B57B9B">
        <w:rPr>
          <w:rStyle w:val="FootnoteReference"/>
          <w:rFonts w:ascii="Calibri" w:eastAsia="Arial" w:hAnsi="Calibri" w:cs="Calibri"/>
          <w:b/>
          <w:color w:val="000000"/>
          <w:w w:val="95"/>
          <w:sz w:val="28"/>
          <w:szCs w:val="28"/>
        </w:rPr>
        <w:footnoteReference w:id="2"/>
      </w:r>
    </w:p>
    <w:p w14:paraId="1238659B" w14:textId="77777777" w:rsidR="00103E83" w:rsidRPr="00CA2C15" w:rsidRDefault="00103E83" w:rsidP="00E40295">
      <w:pPr>
        <w:spacing w:after="240" w:line="360" w:lineRule="auto"/>
        <w:textAlignment w:val="baseline"/>
        <w:rPr>
          <w:rFonts w:ascii="Calibri" w:eastAsia="Arial" w:hAnsi="Calibri" w:cs="Calibri"/>
          <w:b/>
          <w:color w:val="000000"/>
          <w:w w:val="95"/>
          <w:sz w:val="24"/>
          <w:szCs w:val="24"/>
        </w:rPr>
      </w:pPr>
    </w:p>
    <w:p w14:paraId="163E48AE" w14:textId="00A34270" w:rsidR="00B935ED" w:rsidRPr="00CA2C15" w:rsidRDefault="00B935ED" w:rsidP="00D94C7B">
      <w:pPr>
        <w:spacing w:after="240" w:line="360" w:lineRule="auto"/>
        <w:ind w:firstLine="720"/>
        <w:textAlignment w:val="baseline"/>
        <w:rPr>
          <w:rFonts w:ascii="Calibri" w:eastAsia="Arial" w:hAnsi="Calibri" w:cs="Calibri"/>
          <w:b/>
          <w:color w:val="000000"/>
          <w:spacing w:val="-1"/>
          <w:sz w:val="24"/>
          <w:szCs w:val="24"/>
          <w:u w:val="single"/>
        </w:rPr>
      </w:pPr>
      <w:r w:rsidRPr="00CA2C15">
        <w:rPr>
          <w:rFonts w:ascii="Calibri" w:eastAsia="Arial" w:hAnsi="Calibri" w:cs="Calibri"/>
          <w:b/>
          <w:color w:val="000000"/>
          <w:spacing w:val="-1"/>
          <w:sz w:val="24"/>
          <w:szCs w:val="24"/>
          <w:u w:val="single"/>
        </w:rPr>
        <w:t>Part 1: INITIAL STEPS TO GRANT OF PERMISSION</w:t>
      </w:r>
    </w:p>
    <w:p w14:paraId="06D7B5DD" w14:textId="77777777" w:rsidR="00303E7C"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This part of the course will cover the standard initial steps in judicial review, from first meeting the client to the grant or refusal of permission (including how those steps differ in an urgent case) through to the final hearing.</w:t>
      </w:r>
    </w:p>
    <w:p w14:paraId="7EC10A5D" w14:textId="77777777" w:rsidR="007D249B"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Other preliminary considerations before and at the outset of judicial review proceedings have been or are being covered in different sessions: such as, for example, standing and relief; defending a judicial review; funding; and settlement (including pre-permission settlements) and securing </w:t>
      </w:r>
      <w:r w:rsidRPr="00CA2C15">
        <w:rPr>
          <w:rFonts w:ascii="Calibri" w:eastAsia="Arial" w:hAnsi="Calibri" w:cs="Calibri"/>
          <w:i/>
          <w:color w:val="000000"/>
          <w:sz w:val="24"/>
          <w:szCs w:val="24"/>
        </w:rPr>
        <w:t xml:space="preserve">inter partes </w:t>
      </w:r>
      <w:r w:rsidRPr="00CA2C15">
        <w:rPr>
          <w:rFonts w:ascii="Calibri" w:eastAsia="Arial" w:hAnsi="Calibri" w:cs="Calibri"/>
          <w:color w:val="000000"/>
          <w:sz w:val="24"/>
          <w:szCs w:val="24"/>
        </w:rPr>
        <w:t>costs. These topics are all very relevant to the early stages of judicial review.</w:t>
      </w:r>
    </w:p>
    <w:p w14:paraId="4AA242D3" w14:textId="36D4538A" w:rsidR="00303E7C" w:rsidRPr="00CA2C15" w:rsidRDefault="00B935ED" w:rsidP="00415134">
      <w:pPr>
        <w:numPr>
          <w:ilvl w:val="0"/>
          <w:numId w:val="4"/>
        </w:numPr>
        <w:tabs>
          <w:tab w:val="num" w:pos="717"/>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z w:val="24"/>
          <w:szCs w:val="24"/>
        </w:rPr>
        <w:t xml:space="preserve">Essential reading for anyone practising in this area includes the relevant Civil Procedure Rules (‘CPR’), supporting Practice Directions and the </w:t>
      </w:r>
      <w:r w:rsidR="000D5EB2" w:rsidRPr="00CA2C15">
        <w:rPr>
          <w:rFonts w:ascii="Calibri" w:eastAsia="Arial" w:hAnsi="Calibri" w:cs="Calibri"/>
          <w:color w:val="000000"/>
          <w:sz w:val="24"/>
          <w:szCs w:val="24"/>
        </w:rPr>
        <w:t>P</w:t>
      </w:r>
      <w:r w:rsidRPr="00CA2C15">
        <w:rPr>
          <w:rFonts w:ascii="Calibri" w:eastAsia="Arial" w:hAnsi="Calibri" w:cs="Calibri"/>
          <w:color w:val="000000"/>
          <w:sz w:val="24"/>
          <w:szCs w:val="24"/>
        </w:rPr>
        <w:t>re-</w:t>
      </w:r>
      <w:r w:rsidR="000D5EB2" w:rsidRPr="00CA2C15">
        <w:rPr>
          <w:rFonts w:ascii="Calibri" w:eastAsia="Arial" w:hAnsi="Calibri" w:cs="Calibri"/>
          <w:color w:val="000000"/>
          <w:sz w:val="24"/>
          <w:szCs w:val="24"/>
        </w:rPr>
        <w:t>A</w:t>
      </w:r>
      <w:r w:rsidRPr="00CA2C15">
        <w:rPr>
          <w:rFonts w:ascii="Calibri" w:eastAsia="Arial" w:hAnsi="Calibri" w:cs="Calibri"/>
          <w:color w:val="000000"/>
          <w:sz w:val="24"/>
          <w:szCs w:val="24"/>
        </w:rPr>
        <w:t xml:space="preserve">ction </w:t>
      </w:r>
      <w:r w:rsidR="000D5EB2" w:rsidRPr="00CA2C15">
        <w:rPr>
          <w:rFonts w:ascii="Calibri" w:eastAsia="Arial" w:hAnsi="Calibri" w:cs="Calibri"/>
          <w:color w:val="000000"/>
          <w:sz w:val="24"/>
          <w:szCs w:val="24"/>
        </w:rPr>
        <w:t>P</w:t>
      </w:r>
      <w:r w:rsidRPr="00CA2C15">
        <w:rPr>
          <w:rFonts w:ascii="Calibri" w:eastAsia="Arial" w:hAnsi="Calibri" w:cs="Calibri"/>
          <w:color w:val="000000"/>
          <w:sz w:val="24"/>
          <w:szCs w:val="24"/>
        </w:rPr>
        <w:t xml:space="preserve">rotocol for judicial review. The CPR is divided into parts. Judicial review procedure is mainly (but not exclusively) governed by CPR Part 54 and the associated practice directions (mainly Practice Directions 54A and 54B). The </w:t>
      </w:r>
      <w:hyperlink r:id="rId11" w:history="1">
        <w:r w:rsidR="004162E2" w:rsidRPr="00CA2C15">
          <w:rPr>
            <w:rStyle w:val="Hyperlink"/>
            <w:rFonts w:ascii="Calibri" w:eastAsia="Arial" w:hAnsi="Calibri" w:cs="Calibri"/>
            <w:sz w:val="24"/>
            <w:szCs w:val="24"/>
          </w:rPr>
          <w:t>Administrative Court’s own Judicial Review Guide</w:t>
        </w:r>
      </w:hyperlink>
      <w:r w:rsidRPr="00CA2C15">
        <w:rPr>
          <w:rFonts w:ascii="Calibri" w:eastAsia="Arial" w:hAnsi="Calibri" w:cs="Calibri"/>
          <w:color w:val="000000"/>
          <w:sz w:val="24"/>
          <w:szCs w:val="24"/>
        </w:rPr>
        <w:t xml:space="preserve"> </w:t>
      </w:r>
      <w:r w:rsidR="004162E2" w:rsidRPr="00CA2C15">
        <w:rPr>
          <w:rFonts w:ascii="Calibri" w:eastAsia="Arial" w:hAnsi="Calibri" w:cs="Calibri"/>
          <w:color w:val="000000"/>
          <w:sz w:val="24"/>
          <w:szCs w:val="24"/>
        </w:rPr>
        <w:t xml:space="preserve">is </w:t>
      </w:r>
      <w:r w:rsidRPr="00CA2C15">
        <w:rPr>
          <w:rFonts w:ascii="Calibri" w:eastAsia="Arial" w:hAnsi="Calibri" w:cs="Calibri"/>
          <w:color w:val="000000"/>
          <w:sz w:val="24"/>
          <w:szCs w:val="24"/>
        </w:rPr>
        <w:t xml:space="preserve">also essential reading as it provides a general explanation of the work and practice of the Administrative Court and parties are expected to act in accordance with. The Administrative Court’s “Information for Court Users” guidance sets out the </w:t>
      </w:r>
      <w:r w:rsidR="007E627B" w:rsidRPr="00CA2C15">
        <w:rPr>
          <w:rFonts w:ascii="Calibri" w:eastAsia="Arial" w:hAnsi="Calibri" w:cs="Calibri"/>
          <w:color w:val="000000" w:themeColor="text1"/>
          <w:sz w:val="24"/>
          <w:szCs w:val="24"/>
        </w:rPr>
        <w:t xml:space="preserve">court’s </w:t>
      </w:r>
      <w:r w:rsidRPr="00CA2C15">
        <w:rPr>
          <w:rFonts w:ascii="Calibri" w:eastAsia="Arial" w:hAnsi="Calibri" w:cs="Calibri"/>
          <w:color w:val="000000"/>
          <w:sz w:val="24"/>
          <w:szCs w:val="24"/>
        </w:rPr>
        <w:t xml:space="preserve">requirements for the preparation of electronic bundles (including the bundle to be filed with the </w:t>
      </w:r>
      <w:r w:rsidR="007E627B" w:rsidRPr="00CA2C15">
        <w:rPr>
          <w:rFonts w:ascii="Calibri" w:eastAsia="Arial" w:hAnsi="Calibri" w:cs="Calibri"/>
          <w:color w:val="000000" w:themeColor="text1"/>
          <w:sz w:val="24"/>
          <w:szCs w:val="24"/>
        </w:rPr>
        <w:t xml:space="preserve">judicial review claim form </w:t>
      </w:r>
      <w:r w:rsidRPr="00CA2C15">
        <w:rPr>
          <w:rFonts w:ascii="Calibri" w:eastAsia="Arial" w:hAnsi="Calibri" w:cs="Calibri"/>
          <w:color w:val="000000"/>
          <w:sz w:val="24"/>
          <w:szCs w:val="24"/>
        </w:rPr>
        <w:t xml:space="preserve">on issuing a claim), application notices and the different procedures used when filing urgent and non-urgent claims and </w:t>
      </w:r>
      <w:r w:rsidRPr="00CA2C15">
        <w:rPr>
          <w:rFonts w:ascii="Calibri" w:eastAsia="Arial" w:hAnsi="Calibri" w:cs="Calibri"/>
          <w:color w:val="000000"/>
          <w:sz w:val="24"/>
          <w:szCs w:val="24"/>
        </w:rPr>
        <w:lastRenderedPageBreak/>
        <w:t>applications. It also contains information about hearings and how to pay court fees.</w:t>
      </w:r>
      <w:r w:rsidR="00F41E0B" w:rsidRPr="00CA2C15">
        <w:rPr>
          <w:rStyle w:val="FootnoteReference"/>
          <w:rFonts w:ascii="Calibri" w:eastAsia="Arial" w:hAnsi="Calibri" w:cs="Calibri"/>
          <w:color w:val="000000"/>
          <w:sz w:val="24"/>
          <w:szCs w:val="24"/>
        </w:rPr>
        <w:footnoteReference w:id="3"/>
      </w:r>
      <w:r w:rsidRPr="00CA2C15">
        <w:rPr>
          <w:rFonts w:ascii="Calibri" w:eastAsia="Arial" w:hAnsi="Calibri" w:cs="Calibri"/>
          <w:color w:val="000000"/>
          <w:sz w:val="24"/>
          <w:szCs w:val="24"/>
        </w:rPr>
        <w:t xml:space="preserve"> </w:t>
      </w:r>
      <w:r w:rsidR="002F3988" w:rsidRPr="00CA2C15">
        <w:rPr>
          <w:rFonts w:ascii="Calibri" w:eastAsia="Arial" w:hAnsi="Calibri" w:cs="Calibri"/>
          <w:color w:val="000000"/>
          <w:sz w:val="24"/>
          <w:szCs w:val="24"/>
        </w:rPr>
        <w:t>It is important to note that like many courts, the Administrative Court intends to adopt the CE-File system. An E-filing pilot was launched on 1 October 2024. CE-File is currently optional and cannot be used for urgent claims. CE-File is not discussed in detail in this document. However, at an unspecified date in the future, CE-File will become mandatory for professional court users, so please check regularly to ensure you keep up to date with filing requirements</w:t>
      </w:r>
      <w:r w:rsidR="00AC7F70" w:rsidRPr="00CA2C15">
        <w:rPr>
          <w:rStyle w:val="FootnoteReference"/>
          <w:rFonts w:ascii="Calibri" w:eastAsia="Arial" w:hAnsi="Calibri" w:cs="Calibri"/>
          <w:color w:val="000000"/>
          <w:sz w:val="24"/>
          <w:szCs w:val="24"/>
        </w:rPr>
        <w:footnoteReference w:id="4"/>
      </w:r>
      <w:r w:rsidR="002F3988" w:rsidRPr="00CA2C15">
        <w:rPr>
          <w:rFonts w:ascii="Calibri" w:eastAsia="Arial" w:hAnsi="Calibri" w:cs="Calibri"/>
          <w:color w:val="000000"/>
          <w:sz w:val="24"/>
          <w:szCs w:val="24"/>
        </w:rPr>
        <w:t>.</w:t>
      </w:r>
      <w:r w:rsidR="00415134" w:rsidRPr="00CA2C15">
        <w:rPr>
          <w:rFonts w:ascii="Calibri" w:eastAsia="Arial" w:hAnsi="Calibri" w:cs="Calibri"/>
          <w:color w:val="000000"/>
          <w:sz w:val="24"/>
          <w:szCs w:val="24"/>
        </w:rPr>
        <w:t xml:space="preserve"> Anyone who wishes to use CE-file must register as a user –</w:t>
      </w:r>
      <w:r w:rsidR="00415134" w:rsidRPr="00CA2C15">
        <w:rPr>
          <w:rFonts w:ascii="Calibri" w:eastAsia="Arial" w:hAnsi="Calibri" w:cs="Calibri"/>
          <w:color w:val="000000"/>
          <w:spacing w:val="-1"/>
          <w:sz w:val="24"/>
          <w:szCs w:val="24"/>
        </w:rPr>
        <w:t xml:space="preserve"> instructions for registration can be found in the guidance note.</w:t>
      </w:r>
    </w:p>
    <w:p w14:paraId="237DE966" w14:textId="385CB3C9" w:rsidR="00303E7C"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There are a number of key differences between judicial review  and mainstream civil litigation which mean that it is a ‘front-loaded’ process: the very short time limit for issue; the need for permission; and pre-issue preparation in JR incorporates much of the work that in other civil proceedings is usually postponed until much later. In order to get past the permission stage you need to present the Court with a well-argued claim, supported by a well-organised bundle (prepared in accordance with the court’s guidance).</w:t>
      </w:r>
    </w:p>
    <w:p w14:paraId="049EDC7A" w14:textId="27F6BFB4" w:rsidR="00303E7C"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pacing w:val="-1"/>
          <w:sz w:val="24"/>
          <w:szCs w:val="24"/>
        </w:rPr>
        <w:t xml:space="preserve">There are also cost risks if permission is refused. For any application for a legal aid certificate for a judicial review, funding will be ‘at risk’ </w:t>
      </w:r>
      <w:r w:rsidR="000D5DA2" w:rsidRPr="00CA2C15">
        <w:rPr>
          <w:rFonts w:ascii="Calibri" w:eastAsia="Arial" w:hAnsi="Calibri" w:cs="Calibri"/>
          <w:color w:val="000000"/>
          <w:spacing w:val="-1"/>
          <w:sz w:val="24"/>
          <w:szCs w:val="24"/>
        </w:rPr>
        <w:t>during</w:t>
      </w:r>
      <w:r w:rsidRPr="00CA2C15">
        <w:rPr>
          <w:rFonts w:ascii="Calibri" w:eastAsia="Arial" w:hAnsi="Calibri" w:cs="Calibri"/>
          <w:color w:val="000000"/>
          <w:spacing w:val="-1"/>
          <w:sz w:val="24"/>
          <w:szCs w:val="24"/>
        </w:rPr>
        <w:t xml:space="preserve"> the permission stage </w:t>
      </w:r>
      <w:r w:rsidR="00BA27F6" w:rsidRPr="00CA2C15">
        <w:rPr>
          <w:rFonts w:ascii="Calibri" w:eastAsia="Arial" w:hAnsi="Calibri" w:cs="Calibri"/>
          <w:color w:val="000000"/>
          <w:spacing w:val="-1"/>
          <w:sz w:val="24"/>
          <w:szCs w:val="24"/>
        </w:rPr>
        <w:t>until</w:t>
      </w:r>
      <w:r w:rsidRPr="00CA2C15">
        <w:rPr>
          <w:rFonts w:ascii="Calibri" w:eastAsia="Arial" w:hAnsi="Calibri" w:cs="Calibri"/>
          <w:color w:val="000000"/>
          <w:spacing w:val="-1"/>
          <w:sz w:val="24"/>
          <w:szCs w:val="24"/>
        </w:rPr>
        <w:t xml:space="preserve"> permission is </w:t>
      </w:r>
      <w:r w:rsidR="006B16A1" w:rsidRPr="00CA2C15">
        <w:rPr>
          <w:rFonts w:ascii="Calibri" w:eastAsia="Arial" w:hAnsi="Calibri" w:cs="Calibri"/>
          <w:color w:val="000000"/>
          <w:spacing w:val="-1"/>
          <w:sz w:val="24"/>
          <w:szCs w:val="24"/>
        </w:rPr>
        <w:t>granted</w:t>
      </w:r>
      <w:r w:rsidR="008757EA" w:rsidRPr="00CA2C15">
        <w:rPr>
          <w:rFonts w:ascii="Calibri" w:eastAsia="Arial" w:hAnsi="Calibri" w:cs="Calibri"/>
          <w:color w:val="000000"/>
          <w:spacing w:val="-1"/>
          <w:sz w:val="24"/>
          <w:szCs w:val="24"/>
        </w:rPr>
        <w:t>. The</w:t>
      </w:r>
      <w:r w:rsidR="006F4CFE" w:rsidRPr="00CA2C15">
        <w:rPr>
          <w:rFonts w:ascii="Calibri" w:eastAsia="Arial" w:hAnsi="Calibri" w:cs="Calibri"/>
          <w:color w:val="000000"/>
          <w:spacing w:val="-1"/>
          <w:sz w:val="24"/>
          <w:szCs w:val="24"/>
        </w:rPr>
        <w:t xml:space="preserve"> Legal Aid Agency will not </w:t>
      </w:r>
      <w:r w:rsidR="008757EA" w:rsidRPr="00CA2C15">
        <w:rPr>
          <w:rFonts w:ascii="Calibri" w:eastAsia="Arial" w:hAnsi="Calibri" w:cs="Calibri"/>
          <w:color w:val="000000"/>
          <w:spacing w:val="-1"/>
          <w:sz w:val="24"/>
          <w:szCs w:val="24"/>
        </w:rPr>
        <w:t>pay</w:t>
      </w:r>
      <w:r w:rsidR="006F4CFE" w:rsidRPr="00CA2C15">
        <w:rPr>
          <w:rFonts w:ascii="Calibri" w:eastAsia="Arial" w:hAnsi="Calibri" w:cs="Calibri"/>
          <w:color w:val="000000"/>
          <w:spacing w:val="-1"/>
          <w:sz w:val="24"/>
          <w:szCs w:val="24"/>
        </w:rPr>
        <w:t xml:space="preserve"> </w:t>
      </w:r>
      <w:r w:rsidR="008757EA" w:rsidRPr="00CA2C15">
        <w:rPr>
          <w:rFonts w:ascii="Calibri" w:eastAsia="Arial" w:hAnsi="Calibri" w:cs="Calibri"/>
          <w:color w:val="000000"/>
          <w:spacing w:val="-1"/>
          <w:sz w:val="24"/>
          <w:szCs w:val="24"/>
        </w:rPr>
        <w:t xml:space="preserve">for the work </w:t>
      </w:r>
      <w:r w:rsidR="00A45101" w:rsidRPr="00CA2C15">
        <w:rPr>
          <w:rFonts w:ascii="Calibri" w:eastAsia="Arial" w:hAnsi="Calibri" w:cs="Calibri"/>
          <w:color w:val="000000"/>
          <w:spacing w:val="-1"/>
          <w:sz w:val="24"/>
          <w:szCs w:val="24"/>
        </w:rPr>
        <w:t xml:space="preserve">completed to </w:t>
      </w:r>
      <w:r w:rsidR="008757EA" w:rsidRPr="00CA2C15">
        <w:rPr>
          <w:rFonts w:ascii="Calibri" w:eastAsia="Arial" w:hAnsi="Calibri" w:cs="Calibri"/>
          <w:color w:val="000000"/>
          <w:spacing w:val="-1"/>
          <w:sz w:val="24"/>
          <w:szCs w:val="24"/>
        </w:rPr>
        <w:t xml:space="preserve">prepare a </w:t>
      </w:r>
      <w:r w:rsidR="00A45101" w:rsidRPr="00CA2C15">
        <w:rPr>
          <w:rFonts w:ascii="Calibri" w:eastAsia="Arial" w:hAnsi="Calibri" w:cs="Calibri"/>
          <w:color w:val="000000"/>
          <w:spacing w:val="-1"/>
          <w:sz w:val="24"/>
          <w:szCs w:val="24"/>
        </w:rPr>
        <w:t xml:space="preserve">judicial review </w:t>
      </w:r>
      <w:r w:rsidR="008757EA" w:rsidRPr="00CA2C15">
        <w:rPr>
          <w:rFonts w:ascii="Calibri" w:eastAsia="Arial" w:hAnsi="Calibri" w:cs="Calibri"/>
          <w:color w:val="000000"/>
          <w:spacing w:val="-1"/>
          <w:sz w:val="24"/>
          <w:szCs w:val="24"/>
        </w:rPr>
        <w:t xml:space="preserve">claim for issue if permission is </w:t>
      </w:r>
      <w:r w:rsidRPr="00CA2C15">
        <w:rPr>
          <w:rFonts w:ascii="Calibri" w:eastAsia="Arial" w:hAnsi="Calibri" w:cs="Calibri"/>
          <w:color w:val="000000"/>
          <w:spacing w:val="-1"/>
          <w:sz w:val="24"/>
          <w:szCs w:val="24"/>
        </w:rPr>
        <w:t>refused</w:t>
      </w:r>
      <w:r w:rsidR="00A45101" w:rsidRPr="00CA2C15">
        <w:rPr>
          <w:rFonts w:ascii="Calibri" w:eastAsia="Arial" w:hAnsi="Calibri" w:cs="Calibri"/>
          <w:color w:val="000000"/>
          <w:spacing w:val="-1"/>
          <w:sz w:val="24"/>
          <w:szCs w:val="24"/>
        </w:rPr>
        <w:t xml:space="preserve"> by the </w:t>
      </w:r>
      <w:r w:rsidR="008B7181" w:rsidRPr="00CA2C15">
        <w:rPr>
          <w:rFonts w:ascii="Calibri" w:eastAsia="Arial" w:hAnsi="Calibri" w:cs="Calibri"/>
          <w:color w:val="000000"/>
          <w:spacing w:val="-1"/>
          <w:sz w:val="24"/>
          <w:szCs w:val="24"/>
        </w:rPr>
        <w:t>c</w:t>
      </w:r>
      <w:r w:rsidR="00A45101" w:rsidRPr="00CA2C15">
        <w:rPr>
          <w:rFonts w:ascii="Calibri" w:eastAsia="Arial" w:hAnsi="Calibri" w:cs="Calibri"/>
          <w:color w:val="000000"/>
          <w:spacing w:val="-1"/>
          <w:sz w:val="24"/>
          <w:szCs w:val="24"/>
        </w:rPr>
        <w:t>ourt</w:t>
      </w:r>
      <w:r w:rsidRPr="00CA2C15">
        <w:rPr>
          <w:rFonts w:ascii="Calibri" w:eastAsia="Arial" w:hAnsi="Calibri" w:cs="Calibri"/>
          <w:color w:val="000000"/>
          <w:spacing w:val="-1"/>
          <w:sz w:val="24"/>
          <w:szCs w:val="24"/>
        </w:rPr>
        <w:t xml:space="preserve">, unless a </w:t>
      </w:r>
      <w:r w:rsidR="008B7181" w:rsidRPr="00CA2C15">
        <w:rPr>
          <w:rFonts w:ascii="Calibri" w:eastAsia="Arial" w:hAnsi="Calibri" w:cs="Calibri"/>
          <w:color w:val="000000"/>
          <w:spacing w:val="-1"/>
          <w:sz w:val="24"/>
          <w:szCs w:val="24"/>
        </w:rPr>
        <w:t xml:space="preserve">defendant </w:t>
      </w:r>
      <w:r w:rsidRPr="00CA2C15">
        <w:rPr>
          <w:rFonts w:ascii="Calibri" w:eastAsia="Arial" w:hAnsi="Calibri" w:cs="Calibri"/>
          <w:color w:val="000000"/>
          <w:spacing w:val="-1"/>
          <w:sz w:val="24"/>
          <w:szCs w:val="24"/>
        </w:rPr>
        <w:t>withdraws the decision under challenge, or the court orders an oral hearing, or a rolled up</w:t>
      </w:r>
      <w:r w:rsidR="00F91F92" w:rsidRPr="00CA2C15">
        <w:rPr>
          <w:rFonts w:ascii="Calibri" w:eastAsia="Arial" w:hAnsi="Calibri" w:cs="Calibri"/>
          <w:color w:val="000000"/>
          <w:spacing w:val="-1"/>
          <w:sz w:val="24"/>
          <w:szCs w:val="24"/>
        </w:rPr>
        <w:t xml:space="preserve"> </w:t>
      </w:r>
      <w:r w:rsidRPr="00CA2C15">
        <w:rPr>
          <w:rFonts w:ascii="Calibri" w:eastAsia="Arial" w:hAnsi="Calibri" w:cs="Calibri"/>
          <w:color w:val="000000"/>
          <w:sz w:val="24"/>
          <w:szCs w:val="24"/>
        </w:rPr>
        <w:t>hearing of the claim.</w:t>
      </w:r>
      <w:r w:rsidR="00F41E0B" w:rsidRPr="00CA2C15">
        <w:rPr>
          <w:rStyle w:val="FootnoteReference"/>
          <w:rFonts w:ascii="Calibri" w:eastAsia="Arial" w:hAnsi="Calibri" w:cs="Calibri"/>
          <w:color w:val="000000"/>
          <w:sz w:val="24"/>
          <w:szCs w:val="24"/>
        </w:rPr>
        <w:footnoteReference w:id="5"/>
      </w:r>
      <w:r w:rsidRPr="00CA2C15">
        <w:rPr>
          <w:rFonts w:ascii="Calibri" w:eastAsia="Arial" w:hAnsi="Calibri" w:cs="Calibri"/>
          <w:color w:val="000000"/>
          <w:sz w:val="24"/>
          <w:szCs w:val="24"/>
        </w:rPr>
        <w:t xml:space="preserve"> However note that there is sometimes a possibility to frontload the work and have it paid for under an investigative representation certificate (to be considered in the session on legal aid).</w:t>
      </w:r>
    </w:p>
    <w:p w14:paraId="1885038D" w14:textId="6FA413F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This part of the session will cover six areas:</w:t>
      </w:r>
    </w:p>
    <w:p w14:paraId="41E5E508" w14:textId="77777777" w:rsidR="00B935ED" w:rsidRPr="00CA2C15" w:rsidRDefault="00B935ED" w:rsidP="004916C0">
      <w:pPr>
        <w:numPr>
          <w:ilvl w:val="0"/>
          <w:numId w:val="5"/>
        </w:numPr>
        <w:tabs>
          <w:tab w:val="clear" w:pos="94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Identifying the target for challenge;</w:t>
      </w:r>
    </w:p>
    <w:p w14:paraId="2B902F36" w14:textId="77777777" w:rsidR="00B935ED" w:rsidRPr="00CA2C15" w:rsidRDefault="00B935ED" w:rsidP="004916C0">
      <w:pPr>
        <w:numPr>
          <w:ilvl w:val="0"/>
          <w:numId w:val="5"/>
        </w:numPr>
        <w:tabs>
          <w:tab w:val="clear" w:pos="94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lastRenderedPageBreak/>
        <w:t>Time limits;</w:t>
      </w:r>
    </w:p>
    <w:p w14:paraId="29A38FC5" w14:textId="77777777" w:rsidR="007D249B" w:rsidRPr="00CA2C15" w:rsidRDefault="00B935ED" w:rsidP="004916C0">
      <w:pPr>
        <w:numPr>
          <w:ilvl w:val="0"/>
          <w:numId w:val="5"/>
        </w:numPr>
        <w:tabs>
          <w:tab w:val="clear" w:pos="94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Client instructions and advice;</w:t>
      </w:r>
    </w:p>
    <w:p w14:paraId="03E17516" w14:textId="77777777" w:rsidR="007D249B" w:rsidRPr="00CA2C15" w:rsidRDefault="00B935ED" w:rsidP="004916C0">
      <w:pPr>
        <w:numPr>
          <w:ilvl w:val="0"/>
          <w:numId w:val="5"/>
        </w:numPr>
        <w:tabs>
          <w:tab w:val="clear" w:pos="94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Pre-action protocol;</w:t>
      </w:r>
    </w:p>
    <w:p w14:paraId="28817994" w14:textId="77777777" w:rsidR="007D249B" w:rsidRPr="00CA2C15" w:rsidRDefault="00B935ED" w:rsidP="004916C0">
      <w:pPr>
        <w:numPr>
          <w:ilvl w:val="0"/>
          <w:numId w:val="5"/>
        </w:numPr>
        <w:tabs>
          <w:tab w:val="clear" w:pos="94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Preparing to issue;</w:t>
      </w:r>
    </w:p>
    <w:p w14:paraId="0A1F2D1D" w14:textId="4747CC9D" w:rsidR="00D223E9" w:rsidRPr="00CA2C15" w:rsidRDefault="00B935ED" w:rsidP="004916C0">
      <w:pPr>
        <w:numPr>
          <w:ilvl w:val="0"/>
          <w:numId w:val="5"/>
        </w:numPr>
        <w:tabs>
          <w:tab w:val="clear" w:pos="94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Steps in proceedings.</w:t>
      </w:r>
    </w:p>
    <w:p w14:paraId="3890AEFB" w14:textId="4BBF0DD7" w:rsidR="00B935ED" w:rsidRPr="00CA2C15" w:rsidRDefault="00B935ED" w:rsidP="000032CB">
      <w:pPr>
        <w:pStyle w:val="ListParagraph"/>
        <w:numPr>
          <w:ilvl w:val="0"/>
          <w:numId w:val="4"/>
        </w:numPr>
        <w:tabs>
          <w:tab w:val="left" w:pos="1008"/>
        </w:tabs>
        <w:spacing w:after="160" w:line="360" w:lineRule="auto"/>
        <w:ind w:left="709" w:hanging="709"/>
        <w:jc w:val="both"/>
        <w:textAlignment w:val="baseline"/>
        <w:rPr>
          <w:rFonts w:ascii="Calibri" w:eastAsia="Arial" w:hAnsi="Calibri" w:cs="Calibri"/>
          <w:color w:val="000000"/>
          <w:sz w:val="24"/>
          <w:szCs w:val="24"/>
        </w:rPr>
      </w:pPr>
      <w:r w:rsidRPr="00CA2C15">
        <w:rPr>
          <w:rFonts w:ascii="Calibri" w:eastAsia="Arial" w:hAnsi="Calibri" w:cs="Calibri"/>
          <w:color w:val="000000"/>
          <w:sz w:val="24"/>
          <w:szCs w:val="24"/>
        </w:rPr>
        <w:t xml:space="preserve">Steps (a) – (e) are necessarily </w:t>
      </w:r>
      <w:r w:rsidR="00D248E7" w:rsidRPr="00CA2C15">
        <w:rPr>
          <w:rFonts w:ascii="Calibri" w:eastAsia="Arial" w:hAnsi="Calibri" w:cs="Calibri"/>
          <w:color w:val="000000"/>
          <w:sz w:val="24"/>
          <w:szCs w:val="24"/>
        </w:rPr>
        <w:t>claimant</w:t>
      </w:r>
      <w:r w:rsidRPr="00CA2C15">
        <w:rPr>
          <w:rFonts w:ascii="Calibri" w:eastAsia="Arial" w:hAnsi="Calibri" w:cs="Calibri"/>
          <w:color w:val="000000"/>
          <w:sz w:val="24"/>
          <w:szCs w:val="24"/>
        </w:rPr>
        <w:t xml:space="preserve">-focused, but when we address step (f) below this includes the steps to be taken by the </w:t>
      </w:r>
      <w:r w:rsidR="00D248E7"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Step (d) is also important for </w:t>
      </w:r>
      <w:r w:rsidR="00D248E7"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efendants. The position for </w:t>
      </w:r>
      <w:r w:rsidR="00D248E7"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efendants is considered in greater depth in the session on “Defending a JR”.</w:t>
      </w:r>
    </w:p>
    <w:p w14:paraId="2195A1EF" w14:textId="77777777" w:rsidR="00B935ED" w:rsidRPr="00CA2C15" w:rsidRDefault="00B935ED" w:rsidP="00170BDB">
      <w:pPr>
        <w:spacing w:after="240" w:line="360" w:lineRule="auto"/>
        <w:ind w:firstLine="720"/>
        <w:textAlignment w:val="baseline"/>
        <w:rPr>
          <w:rFonts w:ascii="Calibri" w:eastAsia="Arial" w:hAnsi="Calibri" w:cs="Calibri"/>
          <w:b/>
          <w:color w:val="000000"/>
          <w:spacing w:val="-1"/>
          <w:sz w:val="24"/>
          <w:szCs w:val="24"/>
          <w:u w:val="single"/>
        </w:rPr>
      </w:pPr>
      <w:r w:rsidRPr="00CA2C15">
        <w:rPr>
          <w:rFonts w:ascii="Calibri" w:eastAsia="Arial" w:hAnsi="Calibri" w:cs="Calibri"/>
          <w:b/>
          <w:color w:val="000000"/>
          <w:spacing w:val="-1"/>
          <w:sz w:val="24"/>
          <w:szCs w:val="24"/>
          <w:u w:val="single"/>
        </w:rPr>
        <w:t>IDENTIFYING THE TARGET FOR CHALLENGE</w:t>
      </w:r>
    </w:p>
    <w:p w14:paraId="047223FF" w14:textId="272FD4EB"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 first step is identifying a challenge. It is critical (though not always easy) to identify the:</w:t>
      </w:r>
    </w:p>
    <w:p w14:paraId="2585EE0B" w14:textId="77777777" w:rsidR="00D223E9" w:rsidRPr="00CA2C15" w:rsidRDefault="00B935ED" w:rsidP="004916C0">
      <w:pPr>
        <w:numPr>
          <w:ilvl w:val="0"/>
          <w:numId w:val="7"/>
        </w:numPr>
        <w:tabs>
          <w:tab w:val="clear" w:pos="183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enactment;</w:t>
      </w:r>
    </w:p>
    <w:p w14:paraId="5451242A" w14:textId="77777777" w:rsidR="00D223E9" w:rsidRPr="00CA2C15" w:rsidRDefault="00B935ED" w:rsidP="004916C0">
      <w:pPr>
        <w:numPr>
          <w:ilvl w:val="0"/>
          <w:numId w:val="7"/>
        </w:numPr>
        <w:tabs>
          <w:tab w:val="clear" w:pos="183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decision;</w:t>
      </w:r>
    </w:p>
    <w:p w14:paraId="524B34F1" w14:textId="77777777" w:rsidR="00D223E9" w:rsidRPr="00CA2C15" w:rsidRDefault="00B935ED" w:rsidP="004916C0">
      <w:pPr>
        <w:numPr>
          <w:ilvl w:val="0"/>
          <w:numId w:val="7"/>
        </w:numPr>
        <w:tabs>
          <w:tab w:val="clear" w:pos="183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action; or</w:t>
      </w:r>
    </w:p>
    <w:p w14:paraId="7891A35B" w14:textId="77777777" w:rsidR="008E598D" w:rsidRPr="00CA2C15" w:rsidRDefault="00B935ED" w:rsidP="004916C0">
      <w:pPr>
        <w:numPr>
          <w:ilvl w:val="0"/>
          <w:numId w:val="7"/>
        </w:numPr>
        <w:tabs>
          <w:tab w:val="clear" w:pos="183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failure to act</w:t>
      </w:r>
    </w:p>
    <w:p w14:paraId="5F8C4047" w14:textId="4B3CDA5B" w:rsidR="00B935ED" w:rsidRPr="00CA2C15" w:rsidRDefault="00B935ED" w:rsidP="008E598D">
      <w:pPr>
        <w:spacing w:after="240" w:line="360" w:lineRule="auto"/>
        <w:ind w:left="727"/>
        <w:jc w:val="both"/>
        <w:rPr>
          <w:rFonts w:ascii="Calibri" w:eastAsia="Arial" w:hAnsi="Calibri" w:cs="Calibri"/>
          <w:color w:val="000000"/>
          <w:sz w:val="24"/>
          <w:szCs w:val="24"/>
        </w:rPr>
      </w:pPr>
      <w:r w:rsidRPr="00CA2C15">
        <w:rPr>
          <w:rFonts w:ascii="Calibri" w:eastAsia="Arial" w:hAnsi="Calibri" w:cs="Calibri"/>
          <w:color w:val="000000"/>
          <w:sz w:val="24"/>
          <w:szCs w:val="24"/>
        </w:rPr>
        <w:t>that will be the subject of the judicial review claim. Note that sometimes a challenge will have multiple</w:t>
      </w:r>
      <w:r w:rsidR="005F2B0A" w:rsidRPr="00CA2C15">
        <w:rPr>
          <w:rFonts w:ascii="Calibri" w:eastAsia="Arial" w:hAnsi="Calibri" w:cs="Calibri"/>
          <w:color w:val="000000"/>
          <w:sz w:val="24"/>
          <w:szCs w:val="24"/>
        </w:rPr>
        <w:t xml:space="preserve"> </w:t>
      </w:r>
      <w:r w:rsidRPr="00CA2C15">
        <w:rPr>
          <w:rFonts w:ascii="Calibri" w:eastAsia="Arial" w:hAnsi="Calibri" w:cs="Calibri"/>
          <w:color w:val="000000"/>
          <w:spacing w:val="-3"/>
          <w:sz w:val="24"/>
          <w:szCs w:val="24"/>
        </w:rPr>
        <w:t>targets.</w:t>
      </w:r>
    </w:p>
    <w:p w14:paraId="228ACB1F" w14:textId="77777777" w:rsidR="00B935ED" w:rsidRPr="00CA2C15" w:rsidRDefault="00B935ED" w:rsidP="008E598D">
      <w:pPr>
        <w:spacing w:after="240" w:line="360" w:lineRule="auto"/>
        <w:ind w:firstLine="720"/>
        <w:textAlignment w:val="baseline"/>
        <w:rPr>
          <w:rFonts w:ascii="Calibri" w:eastAsia="Arial" w:hAnsi="Calibri" w:cs="Calibri"/>
          <w:b/>
          <w:color w:val="000000"/>
          <w:spacing w:val="-1"/>
          <w:sz w:val="24"/>
          <w:szCs w:val="24"/>
        </w:rPr>
      </w:pPr>
      <w:r w:rsidRPr="00CA2C15">
        <w:rPr>
          <w:rFonts w:ascii="Calibri" w:eastAsia="Arial" w:hAnsi="Calibri" w:cs="Calibri"/>
          <w:b/>
          <w:color w:val="000000"/>
          <w:spacing w:val="-1"/>
          <w:sz w:val="24"/>
          <w:szCs w:val="24"/>
        </w:rPr>
        <w:t>Why is identifying the target so important?</w:t>
      </w:r>
    </w:p>
    <w:p w14:paraId="419F2A3F" w14:textId="5B4A57BE"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There are a number of reasons:</w:t>
      </w:r>
    </w:p>
    <w:p w14:paraId="12247F64"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The decision under challenge needs to be identified in the claim form;</w:t>
      </w:r>
    </w:p>
    <w:p w14:paraId="21FF3297" w14:textId="6A6D4F0E" w:rsidR="0002558B"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Without a reasonably clear view of what is being challenged, it is impossible to </w:t>
      </w:r>
      <w:r w:rsidRPr="00CA2C15">
        <w:rPr>
          <w:rFonts w:ascii="Calibri" w:eastAsiaTheme="minorHAnsi" w:hAnsi="Calibri" w:cs="Calibri"/>
          <w:kern w:val="2"/>
          <w:sz w:val="24"/>
          <w:szCs w:val="24"/>
          <w:lang w:val="en-GB"/>
          <w14:ligatures w14:val="standardContextual"/>
        </w:rPr>
        <w:t>weigh</w:t>
      </w:r>
      <w:r w:rsidRPr="00CA2C15">
        <w:rPr>
          <w:rFonts w:ascii="Calibri" w:eastAsia="Arial" w:hAnsi="Calibri" w:cs="Calibri"/>
          <w:color w:val="000000"/>
          <w:sz w:val="24"/>
          <w:szCs w:val="24"/>
        </w:rPr>
        <w:t xml:space="preserve"> up potential alternative remedies such as appeal rights or A</w:t>
      </w:r>
      <w:r w:rsidR="00385592" w:rsidRPr="00CA2C15">
        <w:rPr>
          <w:rFonts w:ascii="Calibri" w:eastAsia="Arial" w:hAnsi="Calibri" w:cs="Calibri"/>
          <w:color w:val="000000"/>
          <w:sz w:val="24"/>
          <w:szCs w:val="24"/>
        </w:rPr>
        <w:t xml:space="preserve">lternative </w:t>
      </w:r>
      <w:r w:rsidRPr="00CA2C15">
        <w:rPr>
          <w:rFonts w:ascii="Calibri" w:eastAsia="Arial" w:hAnsi="Calibri" w:cs="Calibri"/>
          <w:color w:val="000000"/>
          <w:sz w:val="24"/>
          <w:szCs w:val="24"/>
        </w:rPr>
        <w:t>D</w:t>
      </w:r>
      <w:r w:rsidR="00385592" w:rsidRPr="00CA2C15">
        <w:rPr>
          <w:rFonts w:ascii="Calibri" w:eastAsia="Arial" w:hAnsi="Calibri" w:cs="Calibri"/>
          <w:color w:val="000000"/>
          <w:sz w:val="24"/>
          <w:szCs w:val="24"/>
        </w:rPr>
        <w:t xml:space="preserve">ispute </w:t>
      </w:r>
      <w:r w:rsidRPr="00CA2C15">
        <w:rPr>
          <w:rFonts w:ascii="Calibri" w:eastAsia="Arial" w:hAnsi="Calibri" w:cs="Calibri"/>
          <w:color w:val="000000"/>
          <w:sz w:val="24"/>
          <w:szCs w:val="24"/>
        </w:rPr>
        <w:t>R</w:t>
      </w:r>
      <w:r w:rsidR="00385592" w:rsidRPr="00CA2C15">
        <w:rPr>
          <w:rFonts w:ascii="Calibri" w:eastAsia="Arial" w:hAnsi="Calibri" w:cs="Calibri"/>
          <w:color w:val="000000"/>
          <w:sz w:val="24"/>
          <w:szCs w:val="24"/>
        </w:rPr>
        <w:t>esolution</w:t>
      </w:r>
      <w:r w:rsidR="00822943" w:rsidRPr="00CA2C15">
        <w:rPr>
          <w:rFonts w:ascii="Calibri" w:eastAsia="Arial" w:hAnsi="Calibri" w:cs="Calibri"/>
          <w:color w:val="000000"/>
          <w:sz w:val="24"/>
          <w:szCs w:val="24"/>
        </w:rPr>
        <w:t xml:space="preserve"> (ADR)</w:t>
      </w:r>
      <w:r w:rsidR="00BF52C6" w:rsidRPr="00CA2C15">
        <w:rPr>
          <w:rFonts w:ascii="Calibri" w:eastAsia="Arial" w:hAnsi="Calibri" w:cs="Calibri"/>
          <w:color w:val="000000"/>
          <w:sz w:val="24"/>
          <w:szCs w:val="24"/>
        </w:rPr>
        <w:t>;</w:t>
      </w:r>
    </w:p>
    <w:p w14:paraId="5350A879" w14:textId="22EABA6E" w:rsidR="0002558B"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Judicial review challenges can be refused permission or a remedy, if a challenge is ‘premature’;</w:t>
      </w:r>
    </w:p>
    <w:p w14:paraId="4A37EBC6" w14:textId="072D9F2C" w:rsidR="0002558B"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Difficulties may also arise when a </w:t>
      </w:r>
      <w:r w:rsidR="00D248E7"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seeks to determine the lawfulness of a course of action which is, at present, hypothetical;</w:t>
      </w:r>
    </w:p>
    <w:p w14:paraId="05477A9E" w14:textId="7C401640" w:rsidR="0002558B"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 </w:t>
      </w:r>
      <w:r w:rsidR="0000371F"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may have sufficient interest to bring a claim only in relation to certain stages of a decision-making process;</w:t>
      </w:r>
      <w:r w:rsidR="00BF52C6" w:rsidRPr="00CA2C15">
        <w:rPr>
          <w:rFonts w:ascii="Calibri" w:eastAsia="Arial" w:hAnsi="Calibri" w:cs="Calibri"/>
          <w:color w:val="000000"/>
          <w:sz w:val="24"/>
          <w:szCs w:val="24"/>
        </w:rPr>
        <w:t xml:space="preserve"> and</w:t>
      </w:r>
    </w:p>
    <w:p w14:paraId="09DC4FDB" w14:textId="780224B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pacing w:val="-2"/>
          <w:sz w:val="24"/>
          <w:szCs w:val="24"/>
        </w:rPr>
        <w:t>Most importantly, the claim must be brought both promptly and within three months of when grounds for judicial review first arose to avoid problems with delay (except in planning and procurement cases, where the time limits are 6 weeks and 30 days, respectively).</w:t>
      </w:r>
    </w:p>
    <w:p w14:paraId="63F04AEA" w14:textId="77777777" w:rsidR="00B935ED" w:rsidRPr="00CA2C15" w:rsidRDefault="00B935ED" w:rsidP="00010497">
      <w:pPr>
        <w:spacing w:after="240" w:line="360" w:lineRule="auto"/>
        <w:ind w:firstLine="720"/>
        <w:textAlignment w:val="baseline"/>
        <w:rPr>
          <w:rFonts w:ascii="Calibri" w:eastAsia="Arial" w:hAnsi="Calibri" w:cs="Calibri"/>
          <w:b/>
          <w:color w:val="000000"/>
          <w:sz w:val="24"/>
          <w:szCs w:val="24"/>
        </w:rPr>
      </w:pPr>
      <w:r w:rsidRPr="00CA2C15">
        <w:rPr>
          <w:rFonts w:ascii="Calibri" w:eastAsia="Arial" w:hAnsi="Calibri" w:cs="Calibri"/>
          <w:b/>
          <w:color w:val="000000"/>
          <w:sz w:val="24"/>
          <w:szCs w:val="24"/>
        </w:rPr>
        <w:t>Practical questions for identifying the target (or targets) for challenge</w:t>
      </w:r>
    </w:p>
    <w:p w14:paraId="1476E25B" w14:textId="7394CC8D"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Consideration should be given to the following:</w:t>
      </w:r>
    </w:p>
    <w:p w14:paraId="2FD66D63" w14:textId="41A2891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What precisely is the duty or power the public body has used (or ought to use) to take the decision or action (or failure to act) the prospective </w:t>
      </w:r>
      <w:r w:rsidR="0000371F"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is unhappy with?</w:t>
      </w:r>
    </w:p>
    <w:p w14:paraId="502F4EDF"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Is there anything in any associated legislation, or guidance which requires that a decision be notified in a particular way?</w:t>
      </w:r>
    </w:p>
    <w:p w14:paraId="41F1AE08" w14:textId="13720A4E"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Are there already consequences which adversely affect the prospective </w:t>
      </w:r>
      <w:r w:rsidR="00653F4F" w:rsidRPr="00CA2C15">
        <w:rPr>
          <w:rFonts w:ascii="Calibri" w:eastAsia="Arial" w:hAnsi="Calibri" w:cs="Calibri"/>
          <w:color w:val="000000"/>
          <w:sz w:val="24"/>
          <w:szCs w:val="24"/>
        </w:rPr>
        <w:t xml:space="preserve">claimant </w:t>
      </w:r>
      <w:r w:rsidRPr="00CA2C15">
        <w:rPr>
          <w:rFonts w:ascii="Calibri" w:eastAsia="Arial" w:hAnsi="Calibri" w:cs="Calibri"/>
          <w:color w:val="000000"/>
          <w:sz w:val="24"/>
          <w:szCs w:val="24"/>
        </w:rPr>
        <w:t>(such as deprivation of the opportunity to put his or her views forward in a consultation) or will there only be consequences at a later stage of the process which has yet to be reached?</w:t>
      </w:r>
    </w:p>
    <w:p w14:paraId="6FAE4DC2"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Has the public body given a firm indication of what it intends to do, or is the indication merely provisional?</w:t>
      </w:r>
    </w:p>
    <w:p w14:paraId="0CE9F80D"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Is there a single target or multiple targets? For example, is the challenge both to legislation which confers a power and its application to an individual, or merely the exercise of discretion in an individual case? Is the challenge to an unlawful policy used to determine the individual’s case?</w:t>
      </w:r>
    </w:p>
    <w:p w14:paraId="0CB0E729" w14:textId="77777777" w:rsidR="00B55978" w:rsidRPr="00CA2C15" w:rsidRDefault="00B935ED" w:rsidP="00B55978">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At this stage you should ask yourself:</w:t>
      </w:r>
    </w:p>
    <w:p w14:paraId="2D8ABF48" w14:textId="2603F5BD" w:rsidR="00B935ED" w:rsidRPr="00CA2C15" w:rsidRDefault="00B55978" w:rsidP="00B55978">
      <w:pPr>
        <w:numPr>
          <w:ilvl w:val="1"/>
          <w:numId w:val="4"/>
        </w:numPr>
        <w:spacing w:after="240" w:line="360" w:lineRule="auto"/>
        <w:ind w:left="1134" w:hanging="283"/>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 </w:t>
      </w:r>
      <w:r w:rsidR="00B935ED" w:rsidRPr="00CA2C15">
        <w:rPr>
          <w:rFonts w:ascii="Calibri" w:eastAsia="Arial" w:hAnsi="Calibri" w:cs="Calibri"/>
          <w:color w:val="000000"/>
          <w:sz w:val="24"/>
          <w:szCs w:val="24"/>
        </w:rPr>
        <w:t>Is there a material issue now (not academic, and not hypothetical)?</w:t>
      </w:r>
    </w:p>
    <w:p w14:paraId="3ED8EAF9" w14:textId="2CF154E8"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Is there a decision, act, omission or policy to be </w:t>
      </w:r>
      <w:r w:rsidR="006B23E6" w:rsidRPr="00CA2C15">
        <w:rPr>
          <w:rFonts w:ascii="Calibri" w:eastAsia="Arial" w:hAnsi="Calibri" w:cs="Calibri"/>
          <w:color w:val="000000"/>
          <w:sz w:val="24"/>
          <w:szCs w:val="24"/>
        </w:rPr>
        <w:t>challenged</w:t>
      </w:r>
      <w:r w:rsidRPr="00CA2C15">
        <w:rPr>
          <w:rFonts w:ascii="Calibri" w:eastAsia="Arial" w:hAnsi="Calibri" w:cs="Calibri"/>
          <w:color w:val="000000"/>
          <w:sz w:val="24"/>
          <w:szCs w:val="24"/>
        </w:rPr>
        <w:t>? (From primary legislation all the way down to the simplest of acts – all are in theory challengeable.)</w:t>
      </w:r>
    </w:p>
    <w:p w14:paraId="22BB26AE" w14:textId="166A1E5E"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Was it </w:t>
      </w:r>
      <w:r w:rsidR="00BF52C6" w:rsidRPr="00CA2C15">
        <w:rPr>
          <w:rFonts w:ascii="Calibri" w:eastAsia="Arial" w:hAnsi="Calibri" w:cs="Calibri"/>
          <w:color w:val="000000"/>
          <w:sz w:val="24"/>
          <w:szCs w:val="24"/>
        </w:rPr>
        <w:t>a</w:t>
      </w:r>
      <w:r w:rsidRPr="00CA2C15">
        <w:rPr>
          <w:rFonts w:ascii="Calibri" w:eastAsia="Arial" w:hAnsi="Calibri" w:cs="Calibri"/>
          <w:color w:val="000000"/>
          <w:sz w:val="24"/>
          <w:szCs w:val="24"/>
        </w:rPr>
        <w:t>n exercise of a public function?</w:t>
      </w:r>
    </w:p>
    <w:p w14:paraId="00C79AFC" w14:textId="001BA9A2"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Was it </w:t>
      </w:r>
      <w:r w:rsidR="00BF52C6" w:rsidRPr="00CA2C15">
        <w:rPr>
          <w:rFonts w:ascii="Calibri" w:eastAsia="Arial" w:hAnsi="Calibri" w:cs="Calibri"/>
          <w:color w:val="000000"/>
          <w:sz w:val="24"/>
          <w:szCs w:val="24"/>
        </w:rPr>
        <w:t>a</w:t>
      </w:r>
      <w:r w:rsidRPr="00CA2C15">
        <w:rPr>
          <w:rFonts w:ascii="Calibri" w:eastAsia="Arial" w:hAnsi="Calibri" w:cs="Calibri"/>
          <w:color w:val="000000"/>
          <w:sz w:val="24"/>
          <w:szCs w:val="24"/>
        </w:rPr>
        <w:t>n exercise of a power or a duty? Even if a power, it has limits. Duties are likely to be more narrowly delineated (thus greater chance of breach).</w:t>
      </w:r>
    </w:p>
    <w:p w14:paraId="04916AC0"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Are there reasonable alternative remedies?</w:t>
      </w:r>
    </w:p>
    <w:p w14:paraId="59B8F9E1"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Consider where the power or duty arose from – it may give the clue as to further avenues for challenge (e.g. was it in a policy, promulgated under statute? Where was the failure? The statute, the policy or the act itself?)</w:t>
      </w:r>
    </w:p>
    <w:p w14:paraId="2856FF92" w14:textId="766B02F5"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Does your client have standing to </w:t>
      </w:r>
      <w:r w:rsidR="00BF52C6" w:rsidRPr="00CA2C15">
        <w:rPr>
          <w:rFonts w:ascii="Calibri" w:eastAsia="Arial" w:hAnsi="Calibri" w:cs="Calibri"/>
          <w:color w:val="000000"/>
          <w:sz w:val="24"/>
          <w:szCs w:val="24"/>
        </w:rPr>
        <w:t xml:space="preserve">bring a </w:t>
      </w:r>
      <w:r w:rsidRPr="00CA2C15">
        <w:rPr>
          <w:rFonts w:ascii="Calibri" w:eastAsia="Arial" w:hAnsi="Calibri" w:cs="Calibri"/>
          <w:color w:val="000000"/>
          <w:sz w:val="24"/>
          <w:szCs w:val="24"/>
        </w:rPr>
        <w:t>challenge?</w:t>
      </w:r>
      <w:r w:rsidR="00BF52C6"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(see session 1 – principles) Note the ‘sufficient interest’ test (Senior Courts Act 1981, s. 31(3)</w:t>
      </w:r>
      <w:r w:rsidR="00552682" w:rsidRPr="00CA2C15">
        <w:rPr>
          <w:rFonts w:ascii="Calibri" w:eastAsia="Arial" w:hAnsi="Calibri" w:cs="Calibri"/>
          <w:color w:val="000000"/>
          <w:sz w:val="24"/>
          <w:szCs w:val="24"/>
        </w:rPr>
        <w:t xml:space="preserve"> and</w:t>
      </w:r>
      <w:r w:rsidR="008551E1" w:rsidRPr="00CA2C15">
        <w:rPr>
          <w:rFonts w:ascii="Calibri" w:eastAsia="Arial" w:hAnsi="Calibri" w:cs="Calibri"/>
          <w:color w:val="000000"/>
          <w:sz w:val="24"/>
          <w:szCs w:val="24"/>
        </w:rPr>
        <w:t xml:space="preserve"> s.16(3) Tribunals, Courts, and Enforcement Act 2007</w:t>
      </w:r>
      <w:r w:rsidRPr="00CA2C15">
        <w:rPr>
          <w:rFonts w:ascii="Calibri" w:eastAsia="Arial" w:hAnsi="Calibri" w:cs="Calibri"/>
          <w:color w:val="000000"/>
          <w:sz w:val="24"/>
          <w:szCs w:val="24"/>
        </w:rPr>
        <w:t>); not a busybody; a liberal test; standing under the HRA.</w:t>
      </w:r>
    </w:p>
    <w:p w14:paraId="2C973B90"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Timing – see below.</w:t>
      </w:r>
    </w:p>
    <w:p w14:paraId="40D4CDA4"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Importance to client and the public interest?</w:t>
      </w:r>
    </w:p>
    <w:p w14:paraId="3EE1ED9C"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The funding position (see session 4 – funding).</w:t>
      </w:r>
    </w:p>
    <w:p w14:paraId="26B251DB" w14:textId="292DCBE1" w:rsidR="00396B29" w:rsidRPr="00CA2C15" w:rsidRDefault="00B935ED" w:rsidP="007032A7">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pacing w:val="-1"/>
          <w:sz w:val="24"/>
          <w:szCs w:val="24"/>
          <w:u w:val="single"/>
        </w:rPr>
        <w:t>TIMING</w:t>
      </w:r>
    </w:p>
    <w:p w14:paraId="578C2B63" w14:textId="18D461A2" w:rsidR="00B935ED" w:rsidRPr="00CA2C15" w:rsidRDefault="00B935ED" w:rsidP="007032A7">
      <w:pPr>
        <w:spacing w:after="240" w:line="360" w:lineRule="auto"/>
        <w:ind w:left="144" w:firstLine="576"/>
        <w:jc w:val="both"/>
        <w:textAlignment w:val="baseline"/>
        <w:rPr>
          <w:rFonts w:ascii="Calibri" w:eastAsia="Arial" w:hAnsi="Calibri" w:cs="Calibri"/>
          <w:b/>
          <w:iCs/>
          <w:color w:val="000000"/>
          <w:sz w:val="24"/>
          <w:szCs w:val="24"/>
          <w:u w:val="single"/>
        </w:rPr>
      </w:pPr>
      <w:r w:rsidRPr="00CA2C15">
        <w:rPr>
          <w:rFonts w:ascii="Calibri" w:eastAsia="Arial" w:hAnsi="Calibri" w:cs="Calibri"/>
          <w:b/>
          <w:iCs/>
          <w:color w:val="000000"/>
          <w:sz w:val="24"/>
          <w:szCs w:val="24"/>
        </w:rPr>
        <w:t>When do the grounds first arise?</w:t>
      </w:r>
    </w:p>
    <w:p w14:paraId="64A10E1A" w14:textId="1A17DE10" w:rsidR="007D249B"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CPR </w:t>
      </w:r>
      <w:r w:rsidRPr="00CA2C15">
        <w:rPr>
          <w:rFonts w:ascii="Calibri" w:eastAsia="Arial" w:hAnsi="Calibri" w:cs="Calibri"/>
          <w:color w:val="000000"/>
          <w:sz w:val="24"/>
          <w:szCs w:val="24"/>
        </w:rPr>
        <w:t>54</w:t>
      </w:r>
      <w:r w:rsidRPr="00CA2C15">
        <w:rPr>
          <w:rFonts w:ascii="Calibri" w:eastAsia="Arial" w:hAnsi="Calibri" w:cs="Calibri"/>
          <w:color w:val="000000"/>
          <w:spacing w:val="-1"/>
          <w:sz w:val="24"/>
          <w:szCs w:val="24"/>
        </w:rPr>
        <w:t>.5 provides</w:t>
      </w:r>
      <w:r w:rsidR="00ED337F" w:rsidRPr="00CA2C15">
        <w:rPr>
          <w:rFonts w:ascii="Calibri" w:eastAsia="Arial" w:hAnsi="Calibri" w:cs="Calibri"/>
          <w:color w:val="000000"/>
          <w:spacing w:val="-1"/>
          <w:sz w:val="24"/>
          <w:szCs w:val="24"/>
        </w:rPr>
        <w:t xml:space="preserve"> </w:t>
      </w:r>
      <w:r w:rsidR="00ED337F" w:rsidRPr="00CA2C15">
        <w:rPr>
          <w:rFonts w:ascii="Calibri" w:eastAsia="Arial" w:hAnsi="Calibri" w:cs="Calibri"/>
          <w:color w:val="000000"/>
          <w:sz w:val="24"/>
          <w:szCs w:val="24"/>
        </w:rPr>
        <w:t>[save in planning and procurement cases]</w:t>
      </w:r>
      <w:r w:rsidRPr="00CA2C15">
        <w:rPr>
          <w:rFonts w:ascii="Calibri" w:eastAsia="Arial" w:hAnsi="Calibri" w:cs="Calibri"/>
          <w:color w:val="000000"/>
          <w:spacing w:val="-1"/>
          <w:sz w:val="24"/>
          <w:szCs w:val="24"/>
        </w:rPr>
        <w:t>:</w:t>
      </w:r>
    </w:p>
    <w:p w14:paraId="61AA1C59" w14:textId="190208BD" w:rsidR="00B935ED" w:rsidRPr="00CA2C15" w:rsidRDefault="00B935ED" w:rsidP="007D249B">
      <w:pPr>
        <w:pStyle w:val="ListParagraph"/>
        <w:tabs>
          <w:tab w:val="left" w:pos="216"/>
          <w:tab w:val="left" w:pos="288"/>
        </w:tabs>
        <w:spacing w:after="240" w:line="360" w:lineRule="auto"/>
        <w:ind w:left="851"/>
        <w:contextualSpacing w:val="0"/>
        <w:jc w:val="both"/>
        <w:textAlignment w:val="baseline"/>
        <w:rPr>
          <w:rFonts w:ascii="Calibri" w:eastAsia="Arial" w:hAnsi="Calibri" w:cs="Calibri"/>
          <w:color w:val="000000"/>
          <w:spacing w:val="-1"/>
        </w:rPr>
      </w:pPr>
      <w:r w:rsidRPr="00CA2C15">
        <w:rPr>
          <w:rFonts w:ascii="Calibri" w:eastAsia="Arial" w:hAnsi="Calibri" w:cs="Calibri"/>
          <w:color w:val="000000"/>
        </w:rPr>
        <w:t>(1) The claim form must be filed-</w:t>
      </w:r>
    </w:p>
    <w:p w14:paraId="414D54DD" w14:textId="77777777" w:rsidR="004A6CFB" w:rsidRPr="00CA2C15" w:rsidRDefault="00B935ED" w:rsidP="004916C0">
      <w:pPr>
        <w:numPr>
          <w:ilvl w:val="0"/>
          <w:numId w:val="9"/>
        </w:numPr>
        <w:tabs>
          <w:tab w:val="left" w:pos="1080"/>
        </w:tabs>
        <w:spacing w:after="240" w:line="360" w:lineRule="auto"/>
        <w:ind w:right="215"/>
        <w:jc w:val="both"/>
        <w:textAlignment w:val="baseline"/>
        <w:rPr>
          <w:rFonts w:ascii="Calibri" w:eastAsia="Arial" w:hAnsi="Calibri" w:cs="Calibri"/>
          <w:color w:val="000000"/>
        </w:rPr>
      </w:pPr>
      <w:r w:rsidRPr="00CA2C15">
        <w:rPr>
          <w:rFonts w:ascii="Calibri" w:eastAsia="Arial" w:hAnsi="Calibri" w:cs="Calibri"/>
          <w:color w:val="000000"/>
        </w:rPr>
        <w:t>promptly; and</w:t>
      </w:r>
      <w:r w:rsidR="004A6CFB" w:rsidRPr="00CA2C15">
        <w:rPr>
          <w:rFonts w:ascii="Calibri" w:eastAsia="Arial" w:hAnsi="Calibri" w:cs="Calibri"/>
          <w:color w:val="000000"/>
        </w:rPr>
        <w:t xml:space="preserve"> </w:t>
      </w:r>
    </w:p>
    <w:p w14:paraId="12CE16BE" w14:textId="7E15E930" w:rsidR="00B61301" w:rsidRPr="00CA2C15" w:rsidRDefault="00B935ED" w:rsidP="004916C0">
      <w:pPr>
        <w:numPr>
          <w:ilvl w:val="0"/>
          <w:numId w:val="9"/>
        </w:numPr>
        <w:tabs>
          <w:tab w:val="left" w:pos="1080"/>
        </w:tabs>
        <w:spacing w:after="240" w:line="360" w:lineRule="auto"/>
        <w:ind w:right="215"/>
        <w:jc w:val="both"/>
        <w:textAlignment w:val="baseline"/>
        <w:rPr>
          <w:rFonts w:ascii="Calibri" w:eastAsia="Arial" w:hAnsi="Calibri" w:cs="Calibri"/>
          <w:color w:val="000000"/>
        </w:rPr>
      </w:pPr>
      <w:r w:rsidRPr="00CA2C15">
        <w:rPr>
          <w:rFonts w:ascii="Calibri" w:eastAsia="Arial" w:hAnsi="Calibri" w:cs="Calibri"/>
          <w:color w:val="000000"/>
        </w:rPr>
        <w:t>in any event not later than 3 months after the grounds to make the claim first arose</w:t>
      </w:r>
      <w:r w:rsidRPr="00CA2C15">
        <w:rPr>
          <w:rFonts w:ascii="Calibri" w:eastAsia="Arial" w:hAnsi="Calibri" w:cs="Calibri"/>
          <w:i/>
          <w:color w:val="000000"/>
        </w:rPr>
        <w:t>.</w:t>
      </w:r>
    </w:p>
    <w:p w14:paraId="3D94C92C" w14:textId="2457C0D0" w:rsidR="00B935ED" w:rsidRPr="00CA2C15" w:rsidRDefault="00B935ED" w:rsidP="004A6D72">
      <w:pPr>
        <w:pStyle w:val="ListParagraph"/>
        <w:numPr>
          <w:ilvl w:val="0"/>
          <w:numId w:val="4"/>
        </w:numPr>
        <w:spacing w:after="240" w:line="360" w:lineRule="auto"/>
        <w:ind w:left="709" w:hanging="709"/>
        <w:jc w:val="both"/>
        <w:rPr>
          <w:rFonts w:ascii="Calibri" w:eastAsia="Arial" w:hAnsi="Calibri" w:cs="Calibri"/>
          <w:color w:val="000000"/>
          <w:sz w:val="24"/>
          <w:szCs w:val="24"/>
        </w:rPr>
      </w:pPr>
      <w:r w:rsidRPr="00CA2C15">
        <w:rPr>
          <w:rFonts w:ascii="Calibri" w:eastAsia="Arial" w:hAnsi="Calibri" w:cs="Calibri"/>
          <w:color w:val="000000"/>
          <w:sz w:val="24"/>
          <w:szCs w:val="24"/>
        </w:rPr>
        <w:t>This means you must act very quickly indeed. Do not assume that you have a full three months, or that the date your client thinks the decision was made is correct. You need to establish this from the documents or the other side.</w:t>
      </w:r>
    </w:p>
    <w:p w14:paraId="0FF6654B" w14:textId="46FD9F66"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You cannot agree an extension of time with the </w:t>
      </w:r>
      <w:r w:rsidR="00953B3A"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efendants. You can only ask the court to exercise </w:t>
      </w:r>
      <w:r w:rsidR="00CE65EA" w:rsidRPr="00CA2C15">
        <w:rPr>
          <w:rFonts w:ascii="Calibri" w:eastAsia="Arial" w:hAnsi="Calibri" w:cs="Calibri"/>
          <w:color w:val="000000"/>
          <w:sz w:val="24"/>
          <w:szCs w:val="24"/>
        </w:rPr>
        <w:t xml:space="preserve">its </w:t>
      </w:r>
      <w:r w:rsidRPr="00CA2C15">
        <w:rPr>
          <w:rFonts w:ascii="Calibri" w:eastAsia="Arial" w:hAnsi="Calibri" w:cs="Calibri"/>
          <w:color w:val="000000"/>
          <w:sz w:val="24"/>
          <w:szCs w:val="24"/>
        </w:rPr>
        <w:t xml:space="preserve">discretion to allow your client’s claim out of time. (The </w:t>
      </w:r>
      <w:r w:rsidR="00CE65EA"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agreeing not to take the point </w:t>
      </w:r>
      <w:r w:rsidR="00A674C4" w:rsidRPr="00CA2C15">
        <w:rPr>
          <w:rFonts w:ascii="Calibri" w:eastAsia="Arial" w:hAnsi="Calibri" w:cs="Calibri"/>
          <w:color w:val="000000"/>
          <w:sz w:val="24"/>
          <w:szCs w:val="24"/>
        </w:rPr>
        <w:t>o</w:t>
      </w:r>
      <w:r w:rsidR="00CE65EA" w:rsidRPr="00CA2C15">
        <w:rPr>
          <w:rFonts w:ascii="Calibri" w:eastAsia="Arial" w:hAnsi="Calibri" w:cs="Calibri"/>
          <w:color w:val="000000"/>
          <w:sz w:val="24"/>
          <w:szCs w:val="24"/>
        </w:rPr>
        <w:t>n</w:t>
      </w:r>
      <w:r w:rsidR="00A674C4" w:rsidRPr="00CA2C15">
        <w:rPr>
          <w:rFonts w:ascii="Calibri" w:eastAsia="Arial" w:hAnsi="Calibri" w:cs="Calibri"/>
          <w:color w:val="000000"/>
          <w:sz w:val="24"/>
          <w:szCs w:val="24"/>
        </w:rPr>
        <w:t xml:space="preserve"> timing </w:t>
      </w:r>
      <w:r w:rsidRPr="00CA2C15">
        <w:rPr>
          <w:rFonts w:ascii="Calibri" w:eastAsia="Arial" w:hAnsi="Calibri" w:cs="Calibri"/>
          <w:color w:val="000000"/>
          <w:sz w:val="24"/>
          <w:szCs w:val="24"/>
        </w:rPr>
        <w:t xml:space="preserve">is of limited help.) Your chances of success will depend on your client’s behaviour and the reason for delay as well as any prejudice to the </w:t>
      </w:r>
      <w:r w:rsidR="00CE65EA"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and other interested parties.</w:t>
      </w:r>
    </w:p>
    <w:p w14:paraId="7A98AC95" w14:textId="77777777" w:rsidR="00B935ED" w:rsidRPr="00CA2C15" w:rsidRDefault="00B935ED" w:rsidP="0022437D">
      <w:pPr>
        <w:spacing w:after="240" w:line="360" w:lineRule="auto"/>
        <w:ind w:firstLine="720"/>
        <w:textAlignment w:val="baseline"/>
        <w:rPr>
          <w:rFonts w:ascii="Calibri" w:eastAsia="Arial" w:hAnsi="Calibri" w:cs="Calibri"/>
          <w:b/>
          <w:color w:val="000000"/>
          <w:sz w:val="24"/>
          <w:szCs w:val="24"/>
        </w:rPr>
      </w:pPr>
      <w:r w:rsidRPr="00CA2C15">
        <w:rPr>
          <w:rFonts w:ascii="Calibri" w:eastAsia="Arial" w:hAnsi="Calibri" w:cs="Calibri"/>
          <w:b/>
          <w:color w:val="000000"/>
          <w:spacing w:val="-1"/>
          <w:sz w:val="24"/>
          <w:szCs w:val="24"/>
        </w:rPr>
        <w:t>Continuing</w:t>
      </w:r>
      <w:r w:rsidRPr="00CA2C15">
        <w:rPr>
          <w:rFonts w:ascii="Calibri" w:eastAsia="Arial" w:hAnsi="Calibri" w:cs="Calibri"/>
          <w:b/>
          <w:color w:val="000000"/>
          <w:sz w:val="24"/>
          <w:szCs w:val="24"/>
        </w:rPr>
        <w:t xml:space="preserve"> failures or unlawful actions</w:t>
      </w:r>
    </w:p>
    <w:p w14:paraId="4E21D520" w14:textId="66EFD8C3"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 CPR</w:t>
      </w:r>
      <w:r w:rsidR="00F41E0B" w:rsidRPr="00CA2C15">
        <w:rPr>
          <w:rStyle w:val="FootnoteReference"/>
          <w:rFonts w:ascii="Calibri" w:eastAsia="Arial" w:hAnsi="Calibri" w:cs="Calibri"/>
          <w:color w:val="000000"/>
          <w:sz w:val="24"/>
          <w:szCs w:val="24"/>
        </w:rPr>
        <w:footnoteReference w:id="6"/>
      </w:r>
      <w:r w:rsidRPr="00CA2C15">
        <w:rPr>
          <w:rFonts w:ascii="Calibri" w:eastAsia="Arial" w:hAnsi="Calibri" w:cs="Calibri"/>
          <w:color w:val="000000"/>
          <w:sz w:val="24"/>
          <w:szCs w:val="24"/>
        </w:rPr>
        <w:t xml:space="preserve"> helpfully mentions that a failure to act in relation to the exercise of a public function can form the subject of a challenge. Though grounds will first arise when the conduct in question became unlawful, challenges may be entertained by the court </w:t>
      </w:r>
      <w:r w:rsidR="007903A2" w:rsidRPr="00CA2C15">
        <w:rPr>
          <w:rFonts w:ascii="Calibri" w:eastAsia="Arial" w:hAnsi="Calibri" w:cs="Calibri"/>
          <w:color w:val="000000"/>
          <w:sz w:val="24"/>
          <w:szCs w:val="24"/>
        </w:rPr>
        <w:t>sometime</w:t>
      </w:r>
      <w:r w:rsidRPr="00CA2C15">
        <w:rPr>
          <w:rFonts w:ascii="Calibri" w:eastAsia="Arial" w:hAnsi="Calibri" w:cs="Calibri"/>
          <w:color w:val="000000"/>
          <w:sz w:val="24"/>
          <w:szCs w:val="24"/>
        </w:rPr>
        <w:t xml:space="preserve"> after that. In a continuing failure case, it will be necessary to explain in the claim form when the events came about that should have resulted in a decision or action.</w:t>
      </w:r>
    </w:p>
    <w:p w14:paraId="02FA165A" w14:textId="77777777" w:rsidR="00B935ED" w:rsidRPr="00CA2C15" w:rsidRDefault="00B935ED" w:rsidP="0022437D">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pacing w:val="-1"/>
          <w:sz w:val="24"/>
          <w:szCs w:val="24"/>
          <w:u w:val="single"/>
        </w:rPr>
        <w:t>CLIENT</w:t>
      </w:r>
      <w:r w:rsidRPr="00CA2C15">
        <w:rPr>
          <w:rFonts w:ascii="Calibri" w:eastAsia="Arial" w:hAnsi="Calibri" w:cs="Calibri"/>
          <w:b/>
          <w:color w:val="000000"/>
          <w:sz w:val="24"/>
          <w:szCs w:val="24"/>
          <w:u w:val="single"/>
        </w:rPr>
        <w:t xml:space="preserve"> INSTRUCTIONS AND ADVICE</w:t>
      </w:r>
    </w:p>
    <w:p w14:paraId="4F38397C" w14:textId="0F739141"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This is where a large amount of a solicitor’s time is spent. Key matters to bear in mind are:</w:t>
      </w:r>
    </w:p>
    <w:p w14:paraId="3B022C22" w14:textId="60A5502E" w:rsidR="00B935ED" w:rsidRPr="00CA2C15" w:rsidRDefault="00F55A59"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themeColor="text1"/>
          <w:sz w:val="24"/>
          <w:szCs w:val="24"/>
        </w:rPr>
        <w:t>Providing advice on a complex process and managing expectations on what is achievable</w:t>
      </w:r>
    </w:p>
    <w:p w14:paraId="5D63D5EA"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Record advice in correspondence;</w:t>
      </w:r>
    </w:p>
    <w:p w14:paraId="5A12495F"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Media if high profile;</w:t>
      </w:r>
    </w:p>
    <w:p w14:paraId="0A95B9C6"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Funding matters.</w:t>
      </w:r>
    </w:p>
    <w:p w14:paraId="43A62857" w14:textId="77777777" w:rsidR="00783567" w:rsidRPr="00CA2C15" w:rsidRDefault="00B935ED" w:rsidP="00783567">
      <w:pPr>
        <w:spacing w:after="240" w:line="360" w:lineRule="auto"/>
        <w:ind w:firstLine="720"/>
        <w:textAlignment w:val="baseline"/>
        <w:rPr>
          <w:rFonts w:ascii="Calibri" w:eastAsia="Arial" w:hAnsi="Calibri" w:cs="Calibri"/>
          <w:b/>
          <w:bCs/>
          <w:color w:val="000000" w:themeColor="text1"/>
          <w:sz w:val="24"/>
          <w:szCs w:val="24"/>
        </w:rPr>
      </w:pPr>
      <w:r w:rsidRPr="00CA2C15">
        <w:rPr>
          <w:rFonts w:ascii="Calibri" w:eastAsia="Arial" w:hAnsi="Calibri" w:cs="Calibri"/>
          <w:b/>
          <w:bCs/>
          <w:color w:val="000000"/>
          <w:spacing w:val="-1"/>
          <w:sz w:val="24"/>
          <w:szCs w:val="24"/>
        </w:rPr>
        <w:t>Advising</w:t>
      </w:r>
      <w:r w:rsidRPr="00CA2C15">
        <w:rPr>
          <w:rFonts w:ascii="Calibri" w:eastAsia="Arial" w:hAnsi="Calibri" w:cs="Calibri"/>
          <w:b/>
          <w:bCs/>
          <w:color w:val="000000"/>
          <w:sz w:val="24"/>
          <w:szCs w:val="24"/>
        </w:rPr>
        <w:t xml:space="preserve"> once a decision has clearly been made</w:t>
      </w:r>
    </w:p>
    <w:p w14:paraId="014EE8FE" w14:textId="05F1318D" w:rsidR="00B935ED" w:rsidRPr="00CA2C15" w:rsidRDefault="00B935ED" w:rsidP="00783567">
      <w:pPr>
        <w:pStyle w:val="ListParagraph"/>
        <w:numPr>
          <w:ilvl w:val="0"/>
          <w:numId w:val="4"/>
        </w:numPr>
        <w:spacing w:after="240" w:line="360" w:lineRule="auto"/>
        <w:ind w:left="709" w:hanging="709"/>
        <w:textAlignment w:val="baseline"/>
        <w:rPr>
          <w:rFonts w:ascii="Calibri" w:eastAsia="Arial" w:hAnsi="Calibri" w:cs="Calibri"/>
          <w:color w:val="000000"/>
          <w:sz w:val="24"/>
          <w:szCs w:val="24"/>
        </w:rPr>
      </w:pPr>
      <w:r w:rsidRPr="00CA2C15">
        <w:rPr>
          <w:rFonts w:ascii="Calibri" w:eastAsia="Arial" w:hAnsi="Calibri" w:cs="Calibri"/>
          <w:color w:val="000000"/>
          <w:sz w:val="24"/>
          <w:szCs w:val="24"/>
        </w:rPr>
        <w:t>There are a number of practical steps to be taken when a decision to be challenged has clearly already been made:</w:t>
      </w:r>
    </w:p>
    <w:p w14:paraId="4B4CFB57" w14:textId="4101CEC6"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Identify the decision, bearing in mind the points above: what is it; who made it; when was it made; when was it notified to the potential </w:t>
      </w:r>
      <w:r w:rsidR="00594DB8"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Keep in mind the time limit.</w:t>
      </w:r>
    </w:p>
    <w:p w14:paraId="635312BE" w14:textId="1527BEE6"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Track down any document that records </w:t>
      </w:r>
      <w:r w:rsidR="007E2605" w:rsidRPr="00CA2C15">
        <w:rPr>
          <w:rFonts w:ascii="Calibri" w:eastAsia="Arial" w:hAnsi="Calibri" w:cs="Calibri"/>
          <w:color w:val="000000"/>
          <w:sz w:val="24"/>
          <w:szCs w:val="24"/>
        </w:rPr>
        <w:t>the decision</w:t>
      </w:r>
      <w:r w:rsidRPr="00CA2C15">
        <w:rPr>
          <w:rFonts w:ascii="Calibri" w:eastAsia="Arial" w:hAnsi="Calibri" w:cs="Calibri"/>
          <w:color w:val="000000"/>
          <w:sz w:val="24"/>
          <w:szCs w:val="24"/>
        </w:rPr>
        <w:t>, for example, minutes of the relevant committee, signed and dated decision letter or written record/notification.</w:t>
      </w:r>
    </w:p>
    <w:p w14:paraId="0502FC09" w14:textId="77777777" w:rsidR="00B935ED" w:rsidRPr="00CA2C15" w:rsidRDefault="00B935ED" w:rsidP="00141127">
      <w:pPr>
        <w:spacing w:after="240" w:line="360" w:lineRule="auto"/>
        <w:ind w:left="216" w:firstLine="504"/>
        <w:jc w:val="both"/>
        <w:textAlignment w:val="baseline"/>
        <w:rPr>
          <w:rFonts w:ascii="Calibri" w:eastAsia="Arial" w:hAnsi="Calibri" w:cs="Calibri"/>
          <w:b/>
          <w:color w:val="000000"/>
          <w:sz w:val="24"/>
          <w:szCs w:val="24"/>
        </w:rPr>
      </w:pPr>
      <w:r w:rsidRPr="00CA2C15">
        <w:rPr>
          <w:rFonts w:ascii="Calibri" w:eastAsia="Arial" w:hAnsi="Calibri" w:cs="Calibri"/>
          <w:b/>
          <w:color w:val="000000"/>
          <w:sz w:val="24"/>
          <w:szCs w:val="24"/>
        </w:rPr>
        <w:t>Advising when a decision has clearly yet to be made</w:t>
      </w:r>
    </w:p>
    <w:p w14:paraId="5E8BA628" w14:textId="062CAE9A"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A potential Claimant may seek advice before a final decision is actually made. The options in this scenario are:</w:t>
      </w:r>
    </w:p>
    <w:p w14:paraId="2E7231E9"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Wait for the decision to be made and then apply for judicial review.</w:t>
      </w:r>
    </w:p>
    <w:p w14:paraId="6DF18844" w14:textId="68F453F6"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Write to the authority </w:t>
      </w:r>
      <w:r w:rsidR="00991912" w:rsidRPr="00CA2C15">
        <w:rPr>
          <w:rFonts w:ascii="Calibri" w:eastAsia="Arial" w:hAnsi="Calibri" w:cs="Calibri"/>
          <w:color w:val="000000"/>
          <w:sz w:val="24"/>
          <w:szCs w:val="24"/>
        </w:rPr>
        <w:t>explaining why you believe the contemplated decision to be unlawful</w:t>
      </w:r>
      <w:r w:rsidR="00675B96"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threatening judicial review and ask to be notified in writing of the decision reached and the reasons for it.</w:t>
      </w:r>
    </w:p>
    <w:p w14:paraId="660583A0" w14:textId="28B96C10"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Make written representations on behalf of your client, if necessary or helpful, giving further information or evidence to support </w:t>
      </w:r>
      <w:r w:rsidR="00675B96" w:rsidRPr="00CA2C15">
        <w:rPr>
          <w:rFonts w:ascii="Calibri" w:eastAsia="Arial" w:hAnsi="Calibri" w:cs="Calibri"/>
          <w:color w:val="000000"/>
          <w:sz w:val="24"/>
          <w:szCs w:val="24"/>
        </w:rPr>
        <w:t>their</w:t>
      </w:r>
      <w:r w:rsidRPr="00CA2C15">
        <w:rPr>
          <w:rFonts w:ascii="Calibri" w:eastAsia="Arial" w:hAnsi="Calibri" w:cs="Calibri"/>
          <w:color w:val="000000"/>
          <w:sz w:val="24"/>
          <w:szCs w:val="24"/>
        </w:rPr>
        <w:t xml:space="preserve"> case.</w:t>
      </w:r>
    </w:p>
    <w:p w14:paraId="16C6D0DB" w14:textId="77777777" w:rsidR="004A6CFB"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Advise your client to attend the decision-making forum and, where possible, to put forward arguments or at least keep a good note of the proceedings. Consider the feasibility/ desirability of going yourself or arranging for a friend or lay advocate to accompany the client.</w:t>
      </w:r>
    </w:p>
    <w:p w14:paraId="591A49F4" w14:textId="7D666881" w:rsidR="00B935ED" w:rsidRPr="00CA2C15" w:rsidRDefault="00B935ED" w:rsidP="00E40295">
      <w:pPr>
        <w:spacing w:after="160" w:line="360" w:lineRule="auto"/>
        <w:ind w:left="720"/>
        <w:jc w:val="both"/>
        <w:rPr>
          <w:rFonts w:ascii="Calibri" w:eastAsia="Arial" w:hAnsi="Calibri" w:cs="Calibri"/>
          <w:color w:val="000000"/>
          <w:spacing w:val="-2"/>
          <w:sz w:val="24"/>
          <w:szCs w:val="24"/>
        </w:rPr>
      </w:pPr>
      <w:r w:rsidRPr="00CA2C15">
        <w:rPr>
          <w:rFonts w:ascii="Calibri" w:eastAsia="Arial" w:hAnsi="Calibri" w:cs="Calibri"/>
          <w:color w:val="000000"/>
          <w:sz w:val="24"/>
          <w:szCs w:val="24"/>
        </w:rPr>
        <w:t xml:space="preserve">Which is appropriate will depend very much on the facts of the case. However, the court is unlikely to be sympathetic when the basis for a challenge is that the relevant public body has failed to take into account of some relevant consideration the </w:t>
      </w:r>
      <w:r w:rsidR="006106C3"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was aware of </w:t>
      </w:r>
      <w:r w:rsidR="006106C3" w:rsidRPr="00CA2C15">
        <w:rPr>
          <w:rFonts w:ascii="Calibri" w:eastAsia="Arial" w:hAnsi="Calibri" w:cs="Calibri"/>
          <w:color w:val="000000"/>
          <w:sz w:val="24"/>
          <w:szCs w:val="24"/>
        </w:rPr>
        <w:t xml:space="preserve">and could have, </w:t>
      </w:r>
      <w:r w:rsidRPr="00CA2C15">
        <w:rPr>
          <w:rFonts w:ascii="Calibri" w:eastAsia="Arial" w:hAnsi="Calibri" w:cs="Calibri"/>
          <w:color w:val="000000"/>
          <w:sz w:val="24"/>
          <w:szCs w:val="24"/>
        </w:rPr>
        <w:t>but did not bring to its attention before the decision under challenge was made.</w:t>
      </w:r>
    </w:p>
    <w:p w14:paraId="6093E896" w14:textId="77777777" w:rsidR="00B935ED" w:rsidRPr="00CA2C15" w:rsidRDefault="00B935ED" w:rsidP="00141127">
      <w:pPr>
        <w:spacing w:after="240" w:line="360" w:lineRule="auto"/>
        <w:ind w:left="216" w:firstLine="504"/>
        <w:jc w:val="both"/>
        <w:textAlignment w:val="baseline"/>
        <w:rPr>
          <w:rFonts w:ascii="Calibri" w:eastAsia="Arial" w:hAnsi="Calibri" w:cs="Calibri"/>
          <w:b/>
          <w:color w:val="000000"/>
          <w:sz w:val="24"/>
          <w:szCs w:val="24"/>
        </w:rPr>
      </w:pPr>
      <w:r w:rsidRPr="00CA2C15">
        <w:rPr>
          <w:rFonts w:ascii="Calibri" w:eastAsia="Arial" w:hAnsi="Calibri" w:cs="Calibri"/>
          <w:b/>
          <w:color w:val="000000"/>
          <w:sz w:val="24"/>
          <w:szCs w:val="24"/>
        </w:rPr>
        <w:t>Checklist for a Claimant’s statement</w:t>
      </w:r>
    </w:p>
    <w:p w14:paraId="254E9F41" w14:textId="10B4FB0C"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When taking a full statement from your client cover as many relevant details as possible. These may include:</w:t>
      </w:r>
    </w:p>
    <w:p w14:paraId="54405582" w14:textId="5CC41040"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Full background of the </w:t>
      </w:r>
      <w:r w:rsidR="006106C3"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bearing in mind the issues in the case.</w:t>
      </w:r>
    </w:p>
    <w:p w14:paraId="431D2E59"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History of the decision-making process, including dates and names and status of individuals or relevant committees, and so on.</w:t>
      </w:r>
    </w:p>
    <w:p w14:paraId="5187E92B"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Details of any consultation.</w:t>
      </w:r>
    </w:p>
    <w:p w14:paraId="6608F27B"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Correspondence – obtain copies of all correspondence and documentation your client has in relation to the case. Some things which do not look relevant at first later may prove vital.</w:t>
      </w:r>
    </w:p>
    <w:p w14:paraId="004B4D0D" w14:textId="7255F84C"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A</w:t>
      </w:r>
      <w:r w:rsidR="006E3F6F" w:rsidRPr="00CA2C15">
        <w:rPr>
          <w:rFonts w:ascii="Calibri" w:eastAsia="Arial" w:hAnsi="Calibri" w:cs="Calibri"/>
          <w:color w:val="000000"/>
          <w:sz w:val="24"/>
          <w:szCs w:val="24"/>
        </w:rPr>
        <w:t>ny</w:t>
      </w:r>
      <w:r w:rsidRPr="00CA2C15">
        <w:rPr>
          <w:rFonts w:ascii="Calibri" w:eastAsia="Arial" w:hAnsi="Calibri" w:cs="Calibri"/>
          <w:color w:val="000000"/>
          <w:sz w:val="24"/>
          <w:szCs w:val="24"/>
        </w:rPr>
        <w:t xml:space="preserve"> formal/ final decision.</w:t>
      </w:r>
    </w:p>
    <w:p w14:paraId="63D7A291" w14:textId="47A53C9A"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Any appeals or tribunals</w:t>
      </w:r>
      <w:r w:rsidR="000B52D4" w:rsidRPr="00CA2C15">
        <w:rPr>
          <w:rFonts w:ascii="Calibri" w:eastAsia="Arial" w:hAnsi="Calibri" w:cs="Calibri"/>
          <w:color w:val="000000"/>
          <w:sz w:val="24"/>
          <w:szCs w:val="24"/>
        </w:rPr>
        <w:t>, including any</w:t>
      </w:r>
      <w:r w:rsidR="00690B5E" w:rsidRPr="00CA2C15">
        <w:rPr>
          <w:rFonts w:ascii="Calibri" w:eastAsia="Arial" w:hAnsi="Calibri" w:cs="Calibri"/>
          <w:color w:val="000000"/>
          <w:sz w:val="24"/>
          <w:szCs w:val="24"/>
        </w:rPr>
        <w:t xml:space="preserve"> potential routes of remedy</w:t>
      </w:r>
      <w:r w:rsidR="000B52D4" w:rsidRPr="00CA2C15">
        <w:rPr>
          <w:rFonts w:ascii="Calibri" w:eastAsia="Arial" w:hAnsi="Calibri" w:cs="Calibri"/>
          <w:color w:val="000000"/>
          <w:sz w:val="24"/>
          <w:szCs w:val="24"/>
        </w:rPr>
        <w:t xml:space="preserve"> that are </w:t>
      </w:r>
      <w:r w:rsidR="00690B5E" w:rsidRPr="00CA2C15">
        <w:rPr>
          <w:rFonts w:ascii="Calibri" w:eastAsia="Arial" w:hAnsi="Calibri" w:cs="Calibri"/>
          <w:color w:val="000000"/>
          <w:sz w:val="24"/>
          <w:szCs w:val="24"/>
        </w:rPr>
        <w:t>un</w:t>
      </w:r>
      <w:r w:rsidR="000B52D4" w:rsidRPr="00CA2C15">
        <w:rPr>
          <w:rFonts w:ascii="Calibri" w:eastAsia="Arial" w:hAnsi="Calibri" w:cs="Calibri"/>
          <w:color w:val="000000"/>
          <w:sz w:val="24"/>
          <w:szCs w:val="24"/>
        </w:rPr>
        <w:t>reasonable to pursue in the circumstances</w:t>
      </w:r>
      <w:r w:rsidRPr="00CA2C15">
        <w:rPr>
          <w:rFonts w:ascii="Calibri" w:eastAsia="Arial" w:hAnsi="Calibri" w:cs="Calibri"/>
          <w:color w:val="000000"/>
          <w:sz w:val="24"/>
          <w:szCs w:val="24"/>
        </w:rPr>
        <w:t>.</w:t>
      </w:r>
    </w:p>
    <w:p w14:paraId="62849361" w14:textId="68B05CF6"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History of the </w:t>
      </w:r>
      <w:r w:rsidR="002401CE"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laimant’s dealings with the public body. How have they been included in the process/ kept informed?</w:t>
      </w:r>
    </w:p>
    <w:p w14:paraId="1316DE63"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What information have they been given, and when?</w:t>
      </w:r>
    </w:p>
    <w:p w14:paraId="6F5E2FE3"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Have any reasons been given for the decision?</w:t>
      </w:r>
    </w:p>
    <w:p w14:paraId="0B6012F3"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The impact of the decision under challenge</w:t>
      </w:r>
    </w:p>
    <w:p w14:paraId="7FC3B4F0" w14:textId="50EB30EB"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part of the </w:t>
      </w:r>
      <w:r w:rsidR="002401CE"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laimant’s case relies on hearsay, is there someone else who might need to sign a witness statement about an aspect of it?</w:t>
      </w:r>
    </w:p>
    <w:p w14:paraId="12015207" w14:textId="77777777" w:rsidR="00B935ED" w:rsidRPr="00CA2C15" w:rsidRDefault="00B935ED" w:rsidP="00E966FC">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pacing w:val="-1"/>
          <w:sz w:val="24"/>
          <w:szCs w:val="24"/>
          <w:u w:val="single"/>
        </w:rPr>
        <w:t>PRE</w:t>
      </w:r>
      <w:r w:rsidRPr="00CA2C15">
        <w:rPr>
          <w:rFonts w:ascii="Calibri" w:eastAsia="Arial" w:hAnsi="Calibri" w:cs="Calibri"/>
          <w:b/>
          <w:color w:val="000000"/>
          <w:sz w:val="24"/>
          <w:szCs w:val="24"/>
          <w:u w:val="single"/>
        </w:rPr>
        <w:t>-ACTION PROTOCOL</w:t>
      </w:r>
    </w:p>
    <w:p w14:paraId="440E8E03" w14:textId="77777777" w:rsidR="00783567" w:rsidRPr="00CA2C15" w:rsidRDefault="00B935ED" w:rsidP="00783567">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the vast majority of </w:t>
      </w:r>
      <w:r w:rsidR="006C3981" w:rsidRPr="00CA2C15">
        <w:rPr>
          <w:rFonts w:ascii="Calibri" w:eastAsia="Arial" w:hAnsi="Calibri" w:cs="Calibri"/>
          <w:color w:val="000000"/>
          <w:sz w:val="24"/>
          <w:szCs w:val="24"/>
        </w:rPr>
        <w:t>judicial review</w:t>
      </w:r>
      <w:r w:rsidRPr="00CA2C15">
        <w:rPr>
          <w:rFonts w:ascii="Calibri" w:eastAsia="Arial" w:hAnsi="Calibri" w:cs="Calibri"/>
          <w:color w:val="000000"/>
          <w:sz w:val="24"/>
          <w:szCs w:val="24"/>
        </w:rPr>
        <w:t xml:space="preserve">s, the parties must comply with the </w:t>
      </w:r>
      <w:r w:rsidR="000D5EB2" w:rsidRPr="00CA2C15">
        <w:rPr>
          <w:rFonts w:ascii="Calibri" w:eastAsia="Arial" w:hAnsi="Calibri" w:cs="Calibri"/>
          <w:color w:val="000000"/>
          <w:sz w:val="24"/>
          <w:szCs w:val="24"/>
        </w:rPr>
        <w:t>P</w:t>
      </w:r>
      <w:r w:rsidRPr="00CA2C15">
        <w:rPr>
          <w:rFonts w:ascii="Calibri" w:eastAsia="Arial" w:hAnsi="Calibri" w:cs="Calibri"/>
          <w:color w:val="000000"/>
          <w:sz w:val="24"/>
          <w:szCs w:val="24"/>
        </w:rPr>
        <w:t>re-</w:t>
      </w:r>
      <w:r w:rsidR="000D5EB2" w:rsidRPr="00CA2C15">
        <w:rPr>
          <w:rFonts w:ascii="Calibri" w:eastAsia="Arial" w:hAnsi="Calibri" w:cs="Calibri"/>
          <w:color w:val="000000"/>
          <w:sz w:val="24"/>
          <w:szCs w:val="24"/>
        </w:rPr>
        <w:t>A</w:t>
      </w:r>
      <w:r w:rsidRPr="00CA2C15">
        <w:rPr>
          <w:rFonts w:ascii="Calibri" w:eastAsia="Arial" w:hAnsi="Calibri" w:cs="Calibri"/>
          <w:color w:val="000000"/>
          <w:sz w:val="24"/>
          <w:szCs w:val="24"/>
        </w:rPr>
        <w:t xml:space="preserve">ction </w:t>
      </w:r>
      <w:r w:rsidR="000D5EB2" w:rsidRPr="00CA2C15">
        <w:rPr>
          <w:rFonts w:ascii="Calibri" w:eastAsia="Arial" w:hAnsi="Calibri" w:cs="Calibri"/>
          <w:color w:val="000000"/>
          <w:sz w:val="24"/>
          <w:szCs w:val="24"/>
        </w:rPr>
        <w:t>P</w:t>
      </w:r>
      <w:r w:rsidRPr="00CA2C15">
        <w:rPr>
          <w:rFonts w:ascii="Calibri" w:eastAsia="Arial" w:hAnsi="Calibri" w:cs="Calibri"/>
          <w:color w:val="000000"/>
          <w:sz w:val="24"/>
          <w:szCs w:val="24"/>
        </w:rPr>
        <w:t>rotocol (‘</w:t>
      </w:r>
      <w:r w:rsidRPr="00CA2C15">
        <w:rPr>
          <w:rFonts w:ascii="Calibri" w:eastAsia="Times New Roman" w:hAnsi="Calibri" w:cs="Calibri"/>
          <w:sz w:val="24"/>
          <w:szCs w:val="20"/>
          <w:lang w:val="en-GB"/>
        </w:rPr>
        <w:t>PAP’</w:t>
      </w:r>
      <w:r w:rsidRPr="00CA2C15">
        <w:rPr>
          <w:rFonts w:ascii="Calibri" w:eastAsia="Arial" w:hAnsi="Calibri" w:cs="Calibri"/>
          <w:color w:val="000000"/>
          <w:sz w:val="24"/>
          <w:szCs w:val="24"/>
        </w:rPr>
        <w:t>)</w:t>
      </w:r>
      <w:r w:rsidR="00AF7ADD" w:rsidRPr="00CA2C15">
        <w:rPr>
          <w:rStyle w:val="FootnoteReference"/>
          <w:rFonts w:ascii="Calibri" w:eastAsia="Arial" w:hAnsi="Calibri" w:cs="Calibri"/>
          <w:color w:val="000000"/>
          <w:sz w:val="24"/>
          <w:szCs w:val="24"/>
        </w:rPr>
        <w:footnoteReference w:id="7"/>
      </w:r>
      <w:r w:rsidRPr="00CA2C15">
        <w:rPr>
          <w:rFonts w:ascii="Calibri" w:eastAsia="Arial" w:hAnsi="Calibri" w:cs="Calibri"/>
          <w:color w:val="000000"/>
          <w:sz w:val="24"/>
          <w:szCs w:val="24"/>
        </w:rPr>
        <w:t xml:space="preserve"> (however it </w:t>
      </w:r>
      <w:r w:rsidR="009E4629" w:rsidRPr="00CA2C15">
        <w:rPr>
          <w:rFonts w:ascii="Calibri" w:eastAsia="Arial" w:hAnsi="Calibri" w:cs="Calibri"/>
          <w:color w:val="000000"/>
          <w:sz w:val="24"/>
          <w:szCs w:val="24"/>
        </w:rPr>
        <w:t>is not always appropriate in</w:t>
      </w:r>
      <w:r w:rsidR="00936C08"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 in </w:t>
      </w:r>
      <w:r w:rsidR="009E4629" w:rsidRPr="00CA2C15">
        <w:rPr>
          <w:rFonts w:ascii="Calibri" w:eastAsia="Arial" w:hAnsi="Calibri" w:cs="Calibri"/>
          <w:color w:val="000000"/>
          <w:sz w:val="24"/>
          <w:szCs w:val="24"/>
        </w:rPr>
        <w:t xml:space="preserve">very </w:t>
      </w:r>
      <w:r w:rsidRPr="00CA2C15">
        <w:rPr>
          <w:rFonts w:ascii="Calibri" w:eastAsia="Arial" w:hAnsi="Calibri" w:cs="Calibri"/>
          <w:color w:val="000000"/>
          <w:sz w:val="24"/>
          <w:szCs w:val="24"/>
        </w:rPr>
        <w:t>urgent cases</w:t>
      </w:r>
      <w:r w:rsidR="00121E2B" w:rsidRPr="00CA2C15">
        <w:rPr>
          <w:rFonts w:ascii="Calibri" w:eastAsia="Arial" w:hAnsi="Calibri" w:cs="Calibri"/>
          <w:color w:val="000000"/>
          <w:sz w:val="24"/>
          <w:szCs w:val="24"/>
        </w:rPr>
        <w:t xml:space="preserve"> – see s.6 of the protocol</w:t>
      </w:r>
      <w:r w:rsidRPr="00CA2C15">
        <w:rPr>
          <w:rFonts w:ascii="Calibri" w:eastAsia="Arial" w:hAnsi="Calibri" w:cs="Calibri"/>
          <w:color w:val="000000"/>
          <w:sz w:val="24"/>
          <w:szCs w:val="24"/>
        </w:rPr>
        <w:t xml:space="preserve">). </w:t>
      </w:r>
    </w:p>
    <w:p w14:paraId="449E2DCC" w14:textId="74F05C37" w:rsidR="00B935ED" w:rsidRPr="00CA2C15" w:rsidRDefault="00B935ED" w:rsidP="00783567">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It is essential to comply with the protocol wherever possible. The most crucial part for the Claimant is </w:t>
      </w:r>
      <w:r w:rsidRPr="00CA2C15">
        <w:rPr>
          <w:rFonts w:ascii="Calibri" w:eastAsia="Arial" w:hAnsi="Calibri" w:cs="Calibri"/>
          <w:b/>
          <w:color w:val="000000"/>
          <w:sz w:val="24"/>
          <w:szCs w:val="24"/>
        </w:rPr>
        <w:t xml:space="preserve">the letter before claim </w:t>
      </w:r>
      <w:r w:rsidRPr="00CA2C15">
        <w:rPr>
          <w:rFonts w:ascii="Calibri" w:eastAsia="Arial" w:hAnsi="Calibri" w:cs="Calibri"/>
          <w:color w:val="000000"/>
          <w:sz w:val="24"/>
          <w:szCs w:val="24"/>
        </w:rPr>
        <w:t>or letter before action</w:t>
      </w:r>
      <w:r w:rsidR="00BF52C6" w:rsidRPr="00CA2C15">
        <w:rPr>
          <w:rFonts w:ascii="Calibri" w:eastAsia="Arial" w:hAnsi="Calibri" w:cs="Calibri"/>
          <w:color w:val="000000"/>
          <w:sz w:val="24"/>
          <w:szCs w:val="24"/>
        </w:rPr>
        <w:t xml:space="preserve"> (also known as a ‘pre-action letter’)</w:t>
      </w:r>
      <w:r w:rsidRPr="00CA2C15">
        <w:rPr>
          <w:rFonts w:ascii="Calibri" w:eastAsia="Arial" w:hAnsi="Calibri" w:cs="Calibri"/>
          <w:color w:val="000000"/>
          <w:sz w:val="24"/>
          <w:szCs w:val="24"/>
        </w:rPr>
        <w:t>, setting out the</w:t>
      </w:r>
      <w:r w:rsidR="00205E60" w:rsidRPr="00CA2C15">
        <w:rPr>
          <w:rFonts w:ascii="Calibri" w:eastAsia="Arial" w:hAnsi="Calibri" w:cs="Calibri"/>
          <w:color w:val="000000"/>
          <w:sz w:val="24"/>
          <w:szCs w:val="24"/>
        </w:rPr>
        <w:t xml:space="preserve"> </w:t>
      </w:r>
      <w:r w:rsidR="00A92352" w:rsidRPr="00CA2C15">
        <w:rPr>
          <w:rFonts w:ascii="Calibri" w:eastAsia="Arial" w:hAnsi="Calibri" w:cs="Calibri"/>
          <w:color w:val="000000"/>
          <w:sz w:val="24"/>
          <w:szCs w:val="24"/>
        </w:rPr>
        <w:t>c</w:t>
      </w:r>
      <w:r w:rsidR="00205E60" w:rsidRPr="00CA2C15">
        <w:rPr>
          <w:rFonts w:ascii="Calibri" w:eastAsia="Arial" w:hAnsi="Calibri" w:cs="Calibri"/>
          <w:color w:val="000000"/>
          <w:sz w:val="24"/>
          <w:szCs w:val="24"/>
        </w:rPr>
        <w:t>laimant’s</w:t>
      </w:r>
      <w:r w:rsidRPr="00CA2C15">
        <w:rPr>
          <w:rFonts w:ascii="Calibri" w:eastAsia="Arial" w:hAnsi="Calibri" w:cs="Calibri"/>
          <w:color w:val="000000"/>
          <w:sz w:val="24"/>
          <w:szCs w:val="24"/>
        </w:rPr>
        <w:t xml:space="preserve"> case and allowing the </w:t>
      </w:r>
      <w:r w:rsidR="00A92352"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the opportunity to explain their actions or overturn their decision. Non-compliance with the protocol may be taken into account by the court when deciding case management and costs issues.</w:t>
      </w:r>
    </w:p>
    <w:p w14:paraId="034FCEFE" w14:textId="7A82A8BD" w:rsidR="00B935ED" w:rsidRPr="00CA2C15" w:rsidRDefault="00B935ED" w:rsidP="00E966FC">
      <w:pPr>
        <w:spacing w:after="240" w:line="360" w:lineRule="auto"/>
        <w:ind w:left="216" w:firstLine="504"/>
        <w:jc w:val="both"/>
        <w:textAlignment w:val="baseline"/>
        <w:rPr>
          <w:rFonts w:ascii="Calibri" w:eastAsia="Arial" w:hAnsi="Calibri" w:cs="Calibri"/>
          <w:b/>
          <w:color w:val="000000"/>
          <w:sz w:val="24"/>
          <w:szCs w:val="24"/>
        </w:rPr>
      </w:pPr>
      <w:r w:rsidRPr="00CA2C15">
        <w:rPr>
          <w:rFonts w:ascii="Calibri" w:eastAsia="Arial" w:hAnsi="Calibri" w:cs="Calibri"/>
          <w:b/>
          <w:color w:val="000000"/>
          <w:sz w:val="24"/>
          <w:szCs w:val="24"/>
        </w:rPr>
        <w:t xml:space="preserve">Steps by prospective </w:t>
      </w:r>
      <w:r w:rsidR="00D72C4E" w:rsidRPr="00CA2C15">
        <w:rPr>
          <w:rFonts w:ascii="Calibri" w:eastAsia="Arial" w:hAnsi="Calibri" w:cs="Calibri"/>
          <w:b/>
          <w:color w:val="000000"/>
          <w:sz w:val="24"/>
          <w:szCs w:val="24"/>
        </w:rPr>
        <w:t>c</w:t>
      </w:r>
      <w:r w:rsidRPr="00CA2C15">
        <w:rPr>
          <w:rFonts w:ascii="Calibri" w:eastAsia="Arial" w:hAnsi="Calibri" w:cs="Calibri"/>
          <w:b/>
          <w:color w:val="000000"/>
          <w:sz w:val="24"/>
          <w:szCs w:val="24"/>
        </w:rPr>
        <w:t>laimant</w:t>
      </w:r>
    </w:p>
    <w:p w14:paraId="020D2CB0" w14:textId="7D6ACF72" w:rsidR="00E966FC"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w:t>
      </w:r>
      <w:r w:rsidRPr="00CA2C15">
        <w:rPr>
          <w:rFonts w:ascii="Calibri" w:eastAsia="Arial" w:hAnsi="Calibri" w:cs="Calibri"/>
          <w:color w:val="000000"/>
          <w:spacing w:val="-1"/>
          <w:sz w:val="24"/>
          <w:szCs w:val="24"/>
        </w:rPr>
        <w:t xml:space="preserve"> PAP requires the </w:t>
      </w:r>
      <w:r w:rsidR="00D72C4E" w:rsidRPr="00CA2C15">
        <w:rPr>
          <w:rFonts w:ascii="Calibri" w:eastAsia="Arial" w:hAnsi="Calibri" w:cs="Calibri"/>
          <w:color w:val="000000"/>
          <w:spacing w:val="-1"/>
          <w:sz w:val="24"/>
          <w:szCs w:val="24"/>
        </w:rPr>
        <w:t>c</w:t>
      </w:r>
      <w:r w:rsidRPr="00CA2C15">
        <w:rPr>
          <w:rFonts w:ascii="Calibri" w:eastAsia="Arial" w:hAnsi="Calibri" w:cs="Calibri"/>
          <w:color w:val="000000"/>
          <w:spacing w:val="-1"/>
          <w:sz w:val="24"/>
          <w:szCs w:val="24"/>
        </w:rPr>
        <w:t xml:space="preserve">laimant, before making a claim, to write a letter before claim to the proposed </w:t>
      </w:r>
      <w:r w:rsidR="00D72C4E" w:rsidRPr="00CA2C15">
        <w:rPr>
          <w:rFonts w:ascii="Calibri" w:eastAsia="Arial" w:hAnsi="Calibri" w:cs="Calibri"/>
          <w:color w:val="000000"/>
          <w:spacing w:val="-1"/>
          <w:sz w:val="24"/>
          <w:szCs w:val="24"/>
        </w:rPr>
        <w:t>d</w:t>
      </w:r>
      <w:r w:rsidRPr="00CA2C15">
        <w:rPr>
          <w:rFonts w:ascii="Calibri" w:eastAsia="Arial" w:hAnsi="Calibri" w:cs="Calibri"/>
          <w:color w:val="000000"/>
          <w:spacing w:val="-1"/>
          <w:sz w:val="24"/>
          <w:szCs w:val="24"/>
        </w:rPr>
        <w:t>efendant. The protocol recommends a letter in</w:t>
      </w:r>
      <w:r w:rsidR="00BF52C6" w:rsidRPr="00CA2C15">
        <w:rPr>
          <w:rFonts w:ascii="Calibri" w:eastAsia="Arial" w:hAnsi="Calibri" w:cs="Calibri"/>
          <w:color w:val="000000"/>
          <w:spacing w:val="-1"/>
          <w:sz w:val="24"/>
          <w:szCs w:val="24"/>
        </w:rPr>
        <w:t xml:space="preserve"> </w:t>
      </w:r>
      <w:r w:rsidRPr="00CA2C15">
        <w:rPr>
          <w:rFonts w:ascii="Calibri" w:eastAsia="Arial" w:hAnsi="Calibri" w:cs="Calibri"/>
          <w:color w:val="000000"/>
          <w:spacing w:val="-1"/>
          <w:sz w:val="24"/>
          <w:szCs w:val="24"/>
        </w:rPr>
        <w:t xml:space="preserve">a standard form (see Annex A of the Protocol), although provided that the letter addresses </w:t>
      </w:r>
      <w:r w:rsidRPr="00CA2C15">
        <w:rPr>
          <w:rFonts w:ascii="Calibri" w:eastAsia="Arial" w:hAnsi="Calibri" w:cs="Calibri"/>
          <w:color w:val="000000"/>
          <w:sz w:val="24"/>
          <w:szCs w:val="24"/>
        </w:rPr>
        <w:t>the</w:t>
      </w:r>
      <w:r w:rsidRPr="00CA2C15">
        <w:rPr>
          <w:rFonts w:ascii="Calibri" w:eastAsia="Arial" w:hAnsi="Calibri" w:cs="Calibri"/>
          <w:color w:val="000000"/>
          <w:spacing w:val="-1"/>
          <w:sz w:val="24"/>
          <w:szCs w:val="24"/>
        </w:rPr>
        <w:t xml:space="preserve"> core issues</w:t>
      </w:r>
      <w:r w:rsidR="00E3372F" w:rsidRPr="00CA2C15">
        <w:rPr>
          <w:rFonts w:ascii="Calibri" w:eastAsia="Arial" w:hAnsi="Calibri" w:cs="Calibri"/>
          <w:color w:val="000000"/>
          <w:spacing w:val="-1"/>
          <w:sz w:val="24"/>
          <w:szCs w:val="24"/>
        </w:rPr>
        <w:t>,</w:t>
      </w:r>
      <w:r w:rsidRPr="00CA2C15">
        <w:rPr>
          <w:rFonts w:ascii="Calibri" w:eastAsia="Arial" w:hAnsi="Calibri" w:cs="Calibri"/>
          <w:color w:val="000000"/>
          <w:spacing w:val="-1"/>
          <w:sz w:val="24"/>
          <w:szCs w:val="24"/>
        </w:rPr>
        <w:t xml:space="preserve"> a failure to use the standard form is unlikel</w:t>
      </w:r>
      <w:r w:rsidR="007D249B" w:rsidRPr="00CA2C15">
        <w:rPr>
          <w:rFonts w:ascii="Calibri" w:eastAsia="Arial" w:hAnsi="Calibri" w:cs="Calibri"/>
          <w:color w:val="000000"/>
          <w:spacing w:val="-1"/>
          <w:sz w:val="24"/>
          <w:szCs w:val="24"/>
        </w:rPr>
        <w:t xml:space="preserve">y </w:t>
      </w:r>
      <w:r w:rsidRPr="00CA2C15">
        <w:rPr>
          <w:rFonts w:ascii="Calibri" w:eastAsia="Arial" w:hAnsi="Calibri" w:cs="Calibri"/>
          <w:color w:val="000000"/>
          <w:sz w:val="24"/>
          <w:szCs w:val="24"/>
        </w:rPr>
        <w:t>to be significant. The Home Office ha</w:t>
      </w:r>
      <w:r w:rsidR="00BC742E" w:rsidRPr="00CA2C15">
        <w:rPr>
          <w:rFonts w:ascii="Calibri" w:eastAsia="Arial" w:hAnsi="Calibri" w:cs="Calibri"/>
          <w:color w:val="000000"/>
          <w:sz w:val="24"/>
          <w:szCs w:val="24"/>
        </w:rPr>
        <w:t>s</w:t>
      </w:r>
      <w:r w:rsidRPr="00CA2C15">
        <w:rPr>
          <w:rFonts w:ascii="Calibri" w:eastAsia="Arial" w:hAnsi="Calibri" w:cs="Calibri"/>
          <w:color w:val="000000"/>
          <w:sz w:val="24"/>
          <w:szCs w:val="24"/>
        </w:rPr>
        <w:t xml:space="preserve"> also produced a standardised form that can be completed for non-urgent immigration judicial reviews. Again</w:t>
      </w:r>
      <w:r w:rsidR="007903A2"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it is not compulsory to use this form. It can be found at</w:t>
      </w:r>
      <w:r w:rsidR="00783567" w:rsidRPr="00CA2C15">
        <w:rPr>
          <w:rFonts w:ascii="Calibri" w:eastAsia="Arial" w:hAnsi="Calibri" w:cs="Calibri"/>
          <w:color w:val="000000"/>
          <w:sz w:val="24"/>
          <w:szCs w:val="24"/>
        </w:rPr>
        <w:t>:</w:t>
      </w:r>
    </w:p>
    <w:p w14:paraId="2AD4FE86" w14:textId="538F83DD" w:rsidR="00B935ED" w:rsidRPr="00CA2C15" w:rsidRDefault="00AF219E" w:rsidP="00E966FC">
      <w:pPr>
        <w:spacing w:after="240" w:line="360" w:lineRule="auto"/>
        <w:ind w:left="720"/>
        <w:jc w:val="both"/>
        <w:rPr>
          <w:rFonts w:ascii="Calibri" w:eastAsia="Arial" w:hAnsi="Calibri" w:cs="Calibri"/>
          <w:color w:val="000000"/>
          <w:sz w:val="24"/>
          <w:szCs w:val="24"/>
        </w:rPr>
      </w:pPr>
      <w:hyperlink r:id="rId12" w:history="1">
        <w:r w:rsidRPr="00CA2C15">
          <w:rPr>
            <w:rStyle w:val="Hyperlink"/>
            <w:rFonts w:ascii="Calibri" w:eastAsia="Arial" w:hAnsi="Calibri" w:cs="Calibri"/>
            <w:sz w:val="24"/>
            <w:szCs w:val="24"/>
          </w:rPr>
          <w:t>https://www.gov.uk/government/publications/pre-action-protocol-for-judicial-review</w:t>
        </w:r>
      </w:hyperlink>
      <w:hyperlink r:id="rId13">
        <w:r w:rsidR="00B935ED" w:rsidRPr="00CA2C15">
          <w:rPr>
            <w:rFonts w:ascii="Calibri" w:eastAsia="Arial" w:hAnsi="Calibri" w:cs="Calibri"/>
            <w:color w:val="0000FF"/>
            <w:sz w:val="24"/>
            <w:szCs w:val="24"/>
            <w:u w:val="single"/>
          </w:rPr>
          <w:t>.</w:t>
        </w:r>
      </w:hyperlink>
    </w:p>
    <w:p w14:paraId="483511D4" w14:textId="52FD2152"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 information which should be included in the pre</w:t>
      </w:r>
      <w:r w:rsidR="00BF52C6" w:rsidRPr="00CA2C15">
        <w:rPr>
          <w:rFonts w:ascii="Calibri" w:eastAsia="Arial" w:hAnsi="Calibri" w:cs="Calibri"/>
          <w:color w:val="000000"/>
          <w:sz w:val="24"/>
          <w:szCs w:val="24"/>
        </w:rPr>
        <w:t>-</w:t>
      </w:r>
      <w:r w:rsidRPr="00CA2C15">
        <w:rPr>
          <w:rFonts w:ascii="Calibri" w:eastAsia="Arial" w:hAnsi="Calibri" w:cs="Calibri"/>
          <w:color w:val="000000"/>
          <w:sz w:val="24"/>
          <w:szCs w:val="24"/>
        </w:rPr>
        <w:t>action letter is as follows:</w:t>
      </w:r>
    </w:p>
    <w:p w14:paraId="36F9BFDE" w14:textId="2958E7F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Details of the </w:t>
      </w:r>
      <w:r w:rsidR="00D72C4E"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and </w:t>
      </w:r>
      <w:r w:rsidR="00D72C4E"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w:t>
      </w:r>
    </w:p>
    <w:p w14:paraId="264276ED" w14:textId="2517A2E4"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Any reference details or details of the identity of those within the public body who </w:t>
      </w:r>
      <w:r w:rsidR="00DE2D45" w:rsidRPr="00CA2C15">
        <w:rPr>
          <w:rFonts w:ascii="Calibri" w:eastAsia="Arial" w:hAnsi="Calibri" w:cs="Calibri"/>
          <w:color w:val="000000"/>
          <w:sz w:val="24"/>
          <w:szCs w:val="24"/>
        </w:rPr>
        <w:t>have</w:t>
      </w:r>
      <w:r w:rsidRPr="00CA2C15">
        <w:rPr>
          <w:rFonts w:ascii="Calibri" w:eastAsia="Arial" w:hAnsi="Calibri" w:cs="Calibri"/>
          <w:color w:val="000000"/>
          <w:sz w:val="24"/>
          <w:szCs w:val="24"/>
        </w:rPr>
        <w:t xml:space="preserve"> been handling the dispute;</w:t>
      </w:r>
    </w:p>
    <w:p w14:paraId="5ED91C51" w14:textId="52C7C250"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Details of the </w:t>
      </w:r>
      <w:r w:rsidR="00D72C4E"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laimant’s legal advisers;</w:t>
      </w:r>
    </w:p>
    <w:p w14:paraId="4A202E6F"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The matter which is being challenged should be clearly set out;</w:t>
      </w:r>
    </w:p>
    <w:p w14:paraId="4FA23E73" w14:textId="5ABB47AC"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Details of any </w:t>
      </w:r>
      <w:r w:rsidR="00D72C4E" w:rsidRPr="00CA2C15">
        <w:rPr>
          <w:rFonts w:ascii="Calibri" w:eastAsia="Arial" w:hAnsi="Calibri" w:cs="Calibri"/>
          <w:color w:val="000000"/>
          <w:sz w:val="24"/>
          <w:szCs w:val="24"/>
        </w:rPr>
        <w:t>i</w:t>
      </w:r>
      <w:r w:rsidRPr="00CA2C15">
        <w:rPr>
          <w:rFonts w:ascii="Calibri" w:eastAsia="Arial" w:hAnsi="Calibri" w:cs="Calibri"/>
          <w:color w:val="000000"/>
          <w:sz w:val="24"/>
          <w:szCs w:val="24"/>
        </w:rPr>
        <w:t xml:space="preserve">nterested </w:t>
      </w:r>
      <w:r w:rsidR="00D72C4E" w:rsidRPr="00CA2C15">
        <w:rPr>
          <w:rFonts w:ascii="Calibri" w:eastAsia="Arial" w:hAnsi="Calibri" w:cs="Calibri"/>
          <w:color w:val="000000"/>
          <w:sz w:val="24"/>
          <w:szCs w:val="24"/>
        </w:rPr>
        <w:t>p</w:t>
      </w:r>
      <w:r w:rsidRPr="00CA2C15">
        <w:rPr>
          <w:rFonts w:ascii="Calibri" w:eastAsia="Arial" w:hAnsi="Calibri" w:cs="Calibri"/>
          <w:color w:val="000000"/>
          <w:sz w:val="24"/>
          <w:szCs w:val="24"/>
        </w:rPr>
        <w:t>arties;</w:t>
      </w:r>
    </w:p>
    <w:p w14:paraId="1E42B1B9" w14:textId="1FD61DF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The issue in the claim should be spelt out – the date and details of the decision, act or omission, a brief summary of the facts</w:t>
      </w:r>
      <w:r w:rsidR="00DC33FF" w:rsidRPr="00CA2C15">
        <w:rPr>
          <w:rFonts w:ascii="Calibri" w:eastAsia="Arial" w:hAnsi="Calibri" w:cs="Calibri"/>
          <w:color w:val="000000"/>
          <w:sz w:val="24"/>
          <w:szCs w:val="24"/>
        </w:rPr>
        <w:t xml:space="preserve">, legal </w:t>
      </w:r>
      <w:r w:rsidR="00233522" w:rsidRPr="00CA2C15">
        <w:rPr>
          <w:rFonts w:ascii="Calibri" w:eastAsia="Arial" w:hAnsi="Calibri" w:cs="Calibri"/>
          <w:color w:val="000000"/>
          <w:sz w:val="24"/>
          <w:szCs w:val="24"/>
        </w:rPr>
        <w:t>principles</w:t>
      </w:r>
      <w:r w:rsidRPr="00CA2C15">
        <w:rPr>
          <w:rFonts w:ascii="Calibri" w:eastAsia="Arial" w:hAnsi="Calibri" w:cs="Calibri"/>
          <w:color w:val="000000"/>
          <w:sz w:val="24"/>
          <w:szCs w:val="24"/>
        </w:rPr>
        <w:t xml:space="preserve"> and an explanation as to why it is contended to be wrong;</w:t>
      </w:r>
    </w:p>
    <w:p w14:paraId="7FA8C7EA" w14:textId="5DB97D74"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Details of the action which the </w:t>
      </w:r>
      <w:r w:rsidR="00D72C4E"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is expected to take, including details of the remedy sought;</w:t>
      </w:r>
    </w:p>
    <w:p w14:paraId="090A67AE" w14:textId="71B6BE70" w:rsidR="00B935ED" w:rsidRPr="00CA2C15" w:rsidRDefault="00404D32"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Any appropriate </w:t>
      </w:r>
      <w:r w:rsidR="00B935ED" w:rsidRPr="00CA2C15">
        <w:rPr>
          <w:rFonts w:ascii="Calibri" w:eastAsia="Arial" w:hAnsi="Calibri" w:cs="Calibri"/>
          <w:color w:val="000000"/>
          <w:sz w:val="24"/>
          <w:szCs w:val="24"/>
        </w:rPr>
        <w:t>ADR proposals</w:t>
      </w:r>
      <w:r w:rsidRPr="00CA2C15">
        <w:rPr>
          <w:rFonts w:ascii="Calibri" w:eastAsia="Arial" w:hAnsi="Calibri" w:cs="Calibri"/>
          <w:color w:val="000000"/>
          <w:sz w:val="24"/>
          <w:szCs w:val="24"/>
        </w:rPr>
        <w:t xml:space="preserve"> </w:t>
      </w:r>
      <w:r w:rsidR="00A02FEA" w:rsidRPr="00CA2C15">
        <w:rPr>
          <w:rFonts w:ascii="Calibri" w:eastAsia="Arial" w:hAnsi="Calibri" w:cs="Calibri"/>
          <w:color w:val="000000"/>
          <w:sz w:val="24"/>
          <w:szCs w:val="24"/>
        </w:rPr>
        <w:t>to resolve or narrow the issues</w:t>
      </w:r>
      <w:r w:rsidR="00B935ED" w:rsidRPr="00CA2C15">
        <w:rPr>
          <w:rFonts w:ascii="Calibri" w:eastAsia="Arial" w:hAnsi="Calibri" w:cs="Calibri"/>
          <w:color w:val="000000"/>
          <w:sz w:val="24"/>
          <w:szCs w:val="24"/>
        </w:rPr>
        <w:t>;</w:t>
      </w:r>
    </w:p>
    <w:p w14:paraId="6F382180"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Details of any information sought which is related to identifiable issues in dispute so as to enable the parties to resolve or reduce those issues. This may include a request for a fuller explanation of the reasons for the decision;</w:t>
      </w:r>
    </w:p>
    <w:p w14:paraId="576A1A8B" w14:textId="09294425"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Details of any documents of which disclosure is sought, setting out why these are relevant and why disclosure is necessary. (Note that </w:t>
      </w:r>
      <w:r w:rsidR="00FF6442" w:rsidRPr="00CA2C15">
        <w:rPr>
          <w:rFonts w:ascii="Calibri" w:eastAsia="Arial" w:hAnsi="Calibri" w:cs="Calibri"/>
          <w:color w:val="000000"/>
          <w:sz w:val="24"/>
          <w:szCs w:val="24"/>
        </w:rPr>
        <w:t>the duty of cando</w:t>
      </w:r>
      <w:r w:rsidR="00087E59" w:rsidRPr="00CA2C15">
        <w:rPr>
          <w:rFonts w:ascii="Calibri" w:eastAsia="Arial" w:hAnsi="Calibri" w:cs="Calibri"/>
          <w:color w:val="000000"/>
          <w:sz w:val="24"/>
          <w:szCs w:val="24"/>
        </w:rPr>
        <w:t>u</w:t>
      </w:r>
      <w:r w:rsidR="00FF6442" w:rsidRPr="00CA2C15">
        <w:rPr>
          <w:rFonts w:ascii="Calibri" w:eastAsia="Arial" w:hAnsi="Calibri" w:cs="Calibri"/>
          <w:color w:val="000000"/>
          <w:sz w:val="24"/>
          <w:szCs w:val="24"/>
        </w:rPr>
        <w:t xml:space="preserve">r applies to the pre-action stage but </w:t>
      </w:r>
      <w:r w:rsidRPr="00CA2C15">
        <w:rPr>
          <w:rFonts w:ascii="Calibri" w:eastAsia="Arial" w:hAnsi="Calibri" w:cs="Calibri"/>
          <w:color w:val="000000"/>
          <w:sz w:val="24"/>
          <w:szCs w:val="24"/>
        </w:rPr>
        <w:t xml:space="preserve">a pre-action disclosure application is </w:t>
      </w:r>
      <w:r w:rsidR="00632FC3" w:rsidRPr="00CA2C15">
        <w:rPr>
          <w:rFonts w:ascii="Calibri" w:eastAsia="Arial" w:hAnsi="Calibri" w:cs="Calibri"/>
          <w:color w:val="000000"/>
          <w:sz w:val="24"/>
          <w:szCs w:val="24"/>
        </w:rPr>
        <w:t xml:space="preserve">also </w:t>
      </w:r>
      <w:r w:rsidRPr="00CA2C15">
        <w:rPr>
          <w:rFonts w:ascii="Calibri" w:eastAsia="Arial" w:hAnsi="Calibri" w:cs="Calibri"/>
          <w:color w:val="000000"/>
          <w:sz w:val="24"/>
          <w:szCs w:val="24"/>
        </w:rPr>
        <w:t>possible under the CPR);</w:t>
      </w:r>
    </w:p>
    <w:p w14:paraId="1C8927D5"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Address for reply and service of court documents;</w:t>
      </w:r>
    </w:p>
    <w:p w14:paraId="54C9C7FB" w14:textId="77777777" w:rsidR="00B935ED" w:rsidRPr="00CA2C15" w:rsidRDefault="00B935ED" w:rsidP="004916C0">
      <w:pPr>
        <w:pStyle w:val="ListParagraph"/>
        <w:numPr>
          <w:ilvl w:val="0"/>
          <w:numId w:val="8"/>
        </w:numPr>
        <w:spacing w:after="160" w:line="360" w:lineRule="auto"/>
        <w:ind w:left="1208" w:hanging="357"/>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Proposed reply date (usually 14 days, although a longer or shorter time may be appropriate in a particular case: we address this later in the session).</w:t>
      </w:r>
    </w:p>
    <w:p w14:paraId="5C09CB76" w14:textId="0F2502C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A well-drafted letter before claim can make or break a case. It impacts on costs recovery and your final remedy, as well as having the potential to avoid proceedings altogether. It can also focus your mind on the issues, and clarify the grounds for you and counsel prior to their instruction. Try to identify by name the correct person to send it to and enclose all relevant documentation to avoid delay. The protocol also provides that the letter should be sent to certain addresses for certain types of claim (e.g. claims about immigration, asylum or nationality). I</w:t>
      </w:r>
      <w:r w:rsidR="009C54EE" w:rsidRPr="00CA2C15">
        <w:rPr>
          <w:rFonts w:ascii="Calibri" w:eastAsia="Arial" w:hAnsi="Calibri" w:cs="Calibri"/>
          <w:color w:val="000000"/>
          <w:sz w:val="24"/>
          <w:szCs w:val="24"/>
        </w:rPr>
        <w:t>f</w:t>
      </w:r>
      <w:r w:rsidRPr="00CA2C15">
        <w:rPr>
          <w:rFonts w:ascii="Calibri" w:eastAsia="Arial" w:hAnsi="Calibri" w:cs="Calibri"/>
          <w:color w:val="000000"/>
          <w:sz w:val="24"/>
          <w:szCs w:val="24"/>
        </w:rPr>
        <w:t xml:space="preserve"> the claim is against a local authority the letter should be sent to the legal department as well as the relevant department/ decision maker.</w:t>
      </w:r>
    </w:p>
    <w:p w14:paraId="4D893EB4" w14:textId="61C105AF" w:rsidR="00234A10" w:rsidRPr="00CA2C15" w:rsidRDefault="00B935ED" w:rsidP="00234A1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claim should not normally be issued until the proposed </w:t>
      </w:r>
      <w:r w:rsidR="00EC1DAD" w:rsidRPr="00CA2C15">
        <w:rPr>
          <w:rFonts w:ascii="Calibri" w:eastAsia="Arial" w:hAnsi="Calibri" w:cs="Calibri"/>
          <w:color w:val="000000"/>
          <w:sz w:val="24"/>
          <w:szCs w:val="24"/>
        </w:rPr>
        <w:t xml:space="preserve">pre-action </w:t>
      </w:r>
      <w:r w:rsidRPr="00CA2C15">
        <w:rPr>
          <w:rFonts w:ascii="Calibri" w:eastAsia="Arial" w:hAnsi="Calibri" w:cs="Calibri"/>
          <w:color w:val="000000"/>
          <w:sz w:val="24"/>
          <w:szCs w:val="24"/>
        </w:rPr>
        <w:t>re</w:t>
      </w:r>
      <w:r w:rsidR="00EC1DAD" w:rsidRPr="00CA2C15">
        <w:rPr>
          <w:rFonts w:ascii="Calibri" w:eastAsia="Arial" w:hAnsi="Calibri" w:cs="Calibri"/>
          <w:color w:val="000000"/>
          <w:sz w:val="24"/>
          <w:szCs w:val="24"/>
        </w:rPr>
        <w:t>sponse</w:t>
      </w:r>
      <w:r w:rsidRPr="00CA2C15">
        <w:rPr>
          <w:rFonts w:ascii="Calibri" w:eastAsia="Arial" w:hAnsi="Calibri" w:cs="Calibri"/>
          <w:color w:val="000000"/>
          <w:sz w:val="24"/>
          <w:szCs w:val="24"/>
        </w:rPr>
        <w:t xml:space="preserve"> date has passed</w:t>
      </w:r>
      <w:r w:rsidR="005D7572" w:rsidRPr="00CA2C15">
        <w:rPr>
          <w:rFonts w:ascii="Calibri" w:eastAsia="Arial" w:hAnsi="Calibri" w:cs="Calibri"/>
          <w:color w:val="000000"/>
          <w:sz w:val="24"/>
          <w:szCs w:val="24"/>
        </w:rPr>
        <w:t xml:space="preserve"> to give the </w:t>
      </w:r>
      <w:r w:rsidR="0033701B" w:rsidRPr="00CA2C15">
        <w:rPr>
          <w:rFonts w:ascii="Calibri" w:eastAsia="Arial" w:hAnsi="Calibri" w:cs="Calibri"/>
          <w:color w:val="000000"/>
          <w:sz w:val="24"/>
          <w:szCs w:val="24"/>
        </w:rPr>
        <w:t>d</w:t>
      </w:r>
      <w:r w:rsidR="005D7572" w:rsidRPr="00CA2C15">
        <w:rPr>
          <w:rFonts w:ascii="Calibri" w:eastAsia="Arial" w:hAnsi="Calibri" w:cs="Calibri"/>
          <w:color w:val="000000"/>
          <w:sz w:val="24"/>
          <w:szCs w:val="24"/>
        </w:rPr>
        <w:t>efendant an opportunity to resolve the issue</w:t>
      </w:r>
      <w:r w:rsidRPr="00CA2C15">
        <w:rPr>
          <w:rFonts w:ascii="Calibri" w:eastAsia="Arial" w:hAnsi="Calibri" w:cs="Calibri"/>
          <w:color w:val="000000"/>
          <w:sz w:val="24"/>
          <w:szCs w:val="24"/>
        </w:rPr>
        <w:t>. You must also carefully consider any response before applying for public funding or moving to issue proceedings. Sometimes it will be necessary to send further pre-action correspondence to protect your position (e.g. by correcting a misunderstanding, or including an additional ground of challenge) prior to issu</w:t>
      </w:r>
      <w:r w:rsidR="00EB5460" w:rsidRPr="00CA2C15">
        <w:rPr>
          <w:rFonts w:ascii="Calibri" w:eastAsia="Arial" w:hAnsi="Calibri" w:cs="Calibri"/>
          <w:color w:val="000000"/>
          <w:sz w:val="24"/>
          <w:szCs w:val="24"/>
        </w:rPr>
        <w:t>ing a claim</w:t>
      </w:r>
      <w:r w:rsidRPr="00CA2C15">
        <w:rPr>
          <w:rFonts w:ascii="Calibri" w:eastAsia="Arial" w:hAnsi="Calibri" w:cs="Calibri"/>
          <w:color w:val="000000"/>
          <w:sz w:val="24"/>
          <w:szCs w:val="24"/>
        </w:rPr>
        <w:t>.</w:t>
      </w:r>
    </w:p>
    <w:p w14:paraId="74DE6FCE" w14:textId="41233195" w:rsidR="00B935ED" w:rsidRPr="00CA2C15" w:rsidRDefault="00B935ED" w:rsidP="1B38913A">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pacing w:val="-1"/>
          <w:sz w:val="24"/>
          <w:szCs w:val="24"/>
        </w:rPr>
        <w:t xml:space="preserve">Steps by prospective </w:t>
      </w:r>
      <w:r w:rsidR="00DE1E2E" w:rsidRPr="00CA2C15">
        <w:rPr>
          <w:rFonts w:ascii="Calibri" w:eastAsia="Arial" w:hAnsi="Calibri" w:cs="Calibri"/>
          <w:b/>
          <w:bCs/>
          <w:color w:val="000000"/>
          <w:spacing w:val="-1"/>
          <w:sz w:val="24"/>
          <w:szCs w:val="24"/>
        </w:rPr>
        <w:t>d</w:t>
      </w:r>
      <w:r w:rsidRPr="00CA2C15">
        <w:rPr>
          <w:rFonts w:ascii="Calibri" w:eastAsia="Arial" w:hAnsi="Calibri" w:cs="Calibri"/>
          <w:b/>
          <w:bCs/>
          <w:color w:val="000000"/>
          <w:spacing w:val="-1"/>
          <w:sz w:val="24"/>
          <w:szCs w:val="24"/>
        </w:rPr>
        <w:t>efendant</w:t>
      </w:r>
    </w:p>
    <w:p w14:paraId="14742F58" w14:textId="7E31FD4A"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Within (usually) 14 days the </w:t>
      </w:r>
      <w:r w:rsidR="00DE1E2E" w:rsidRPr="00CA2C15">
        <w:rPr>
          <w:rFonts w:ascii="Calibri" w:eastAsia="Arial" w:hAnsi="Calibri" w:cs="Calibri"/>
          <w:color w:val="000000"/>
          <w:spacing w:val="-1"/>
          <w:sz w:val="24"/>
          <w:szCs w:val="24"/>
        </w:rPr>
        <w:t>d</w:t>
      </w:r>
      <w:r w:rsidRPr="00CA2C15">
        <w:rPr>
          <w:rFonts w:ascii="Calibri" w:eastAsia="Arial" w:hAnsi="Calibri" w:cs="Calibri"/>
          <w:color w:val="000000"/>
          <w:spacing w:val="-1"/>
          <w:sz w:val="24"/>
          <w:szCs w:val="24"/>
        </w:rPr>
        <w:t>efendant should send a letter of response. Again the PAP has a recommended standard form (see Annex B</w:t>
      </w:r>
      <w:r w:rsidR="003428DE" w:rsidRPr="00CA2C15">
        <w:rPr>
          <w:rFonts w:ascii="Calibri" w:eastAsia="Arial" w:hAnsi="Calibri" w:cs="Calibri"/>
          <w:color w:val="000000"/>
          <w:spacing w:val="-1"/>
          <w:sz w:val="24"/>
          <w:szCs w:val="24"/>
        </w:rPr>
        <w:t xml:space="preserve"> of the Protocol</w:t>
      </w:r>
      <w:r w:rsidRPr="00CA2C15">
        <w:rPr>
          <w:rFonts w:ascii="Calibri" w:eastAsia="Arial" w:hAnsi="Calibri" w:cs="Calibri"/>
          <w:color w:val="000000"/>
          <w:spacing w:val="-1"/>
          <w:sz w:val="24"/>
          <w:szCs w:val="24"/>
        </w:rPr>
        <w:t xml:space="preserve">). This should provide where appropriate a fuller explanation of the decision, and indicate whether the claim is conceded in whole or in part, or will be contested. If the claim is being conceded </w:t>
      </w:r>
      <w:r w:rsidRPr="00CA2C15">
        <w:rPr>
          <w:rFonts w:ascii="Calibri" w:eastAsia="Arial" w:hAnsi="Calibri" w:cs="Calibri"/>
          <w:color w:val="000000"/>
          <w:sz w:val="24"/>
          <w:szCs w:val="24"/>
        </w:rPr>
        <w:t>in</w:t>
      </w:r>
      <w:r w:rsidRPr="00CA2C15">
        <w:rPr>
          <w:rFonts w:ascii="Calibri" w:eastAsia="Arial" w:hAnsi="Calibri" w:cs="Calibri"/>
          <w:color w:val="000000"/>
          <w:spacing w:val="-1"/>
          <w:sz w:val="24"/>
          <w:szCs w:val="24"/>
        </w:rPr>
        <w:t xml:space="preserve"> full, the letter should clearly and unambiguously say so. If it is being conceded in part or not at all, again the Defendant’s position should be unambiguously stated.</w:t>
      </w:r>
    </w:p>
    <w:p w14:paraId="48490009" w14:textId="7777777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Where the Defendant does not propose to disclose any information or </w:t>
      </w:r>
      <w:r w:rsidRPr="00CA2C15">
        <w:rPr>
          <w:rFonts w:ascii="Calibri" w:eastAsia="Times New Roman" w:hAnsi="Calibri" w:cs="Calibri"/>
          <w:sz w:val="24"/>
          <w:szCs w:val="20"/>
          <w:lang w:val="en-GB"/>
        </w:rPr>
        <w:t>documents</w:t>
      </w:r>
      <w:r w:rsidRPr="00CA2C15">
        <w:rPr>
          <w:rFonts w:ascii="Calibri" w:eastAsia="Arial" w:hAnsi="Calibri" w:cs="Calibri"/>
          <w:color w:val="000000"/>
          <w:sz w:val="24"/>
          <w:szCs w:val="24"/>
        </w:rPr>
        <w:t xml:space="preserve"> that have been requested, the reasons for this should be explained.</w:t>
      </w:r>
    </w:p>
    <w:p w14:paraId="5CABEE8B" w14:textId="19DC7980" w:rsidR="007D249B"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letter of response should be sent to the </w:t>
      </w:r>
      <w:r w:rsidR="00B90E62" w:rsidRPr="00CA2C15">
        <w:rPr>
          <w:rFonts w:ascii="Calibri" w:eastAsia="Arial" w:hAnsi="Calibri" w:cs="Calibri"/>
          <w:color w:val="000000"/>
          <w:sz w:val="24"/>
          <w:szCs w:val="24"/>
        </w:rPr>
        <w:t>c</w:t>
      </w:r>
      <w:r w:rsidR="009B1E18" w:rsidRPr="00CA2C15">
        <w:rPr>
          <w:rFonts w:ascii="Calibri" w:eastAsia="Arial" w:hAnsi="Calibri" w:cs="Calibri"/>
          <w:color w:val="000000"/>
          <w:sz w:val="24"/>
          <w:szCs w:val="24"/>
        </w:rPr>
        <w:t xml:space="preserve">laimant and any </w:t>
      </w:r>
      <w:r w:rsidR="006158FA" w:rsidRPr="00CA2C15">
        <w:rPr>
          <w:rFonts w:ascii="Calibri" w:eastAsia="Arial" w:hAnsi="Calibri" w:cs="Calibri"/>
          <w:color w:val="000000"/>
          <w:sz w:val="24"/>
          <w:szCs w:val="24"/>
        </w:rPr>
        <w:t xml:space="preserve">interested parties </w:t>
      </w:r>
      <w:r w:rsidRPr="00CA2C15">
        <w:rPr>
          <w:rFonts w:ascii="Calibri" w:eastAsia="Arial" w:hAnsi="Calibri" w:cs="Calibri"/>
          <w:color w:val="000000"/>
          <w:sz w:val="24"/>
          <w:szCs w:val="24"/>
        </w:rPr>
        <w:t xml:space="preserve"> named by the </w:t>
      </w:r>
      <w:r w:rsidRPr="00CA2C15">
        <w:rPr>
          <w:rFonts w:ascii="Calibri" w:eastAsia="Times New Roman" w:hAnsi="Calibri" w:cs="Calibri"/>
          <w:sz w:val="24"/>
          <w:szCs w:val="20"/>
          <w:lang w:val="en-GB"/>
        </w:rPr>
        <w:t>prospective</w:t>
      </w:r>
      <w:r w:rsidRPr="00CA2C15">
        <w:rPr>
          <w:rFonts w:ascii="Calibri" w:eastAsia="Arial" w:hAnsi="Calibri" w:cs="Calibri"/>
          <w:color w:val="000000"/>
          <w:sz w:val="24"/>
          <w:szCs w:val="24"/>
        </w:rPr>
        <w:t xml:space="preserve"> </w:t>
      </w:r>
      <w:r w:rsidR="00B90E62"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and should identify any parties who the </w:t>
      </w:r>
      <w:r w:rsidR="00B90E62"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considers have an interest and who have not already been named by the </w:t>
      </w:r>
      <w:r w:rsidR="00B90E62"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w:t>
      </w:r>
    </w:p>
    <w:p w14:paraId="31532863" w14:textId="4D6A6135" w:rsidR="00B935ED" w:rsidRPr="00CA2C15" w:rsidRDefault="00B935ED" w:rsidP="1B38913A">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z w:val="24"/>
          <w:szCs w:val="24"/>
        </w:rPr>
        <w:t>Costs Implications of Non-Compliance with the PAP</w:t>
      </w:r>
    </w:p>
    <w:p w14:paraId="499BF872" w14:textId="3A2DD6E7" w:rsidR="008E179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z w:val="24"/>
          <w:szCs w:val="24"/>
        </w:rPr>
        <w:t xml:space="preserve">A failure to comply with the PAP may well affect a party’s prospects of </w:t>
      </w:r>
      <w:r w:rsidRPr="00CA2C15">
        <w:rPr>
          <w:rFonts w:ascii="Calibri" w:eastAsia="Times New Roman" w:hAnsi="Calibri" w:cs="Calibri"/>
          <w:sz w:val="24"/>
          <w:szCs w:val="20"/>
          <w:lang w:val="en-GB"/>
        </w:rPr>
        <w:t>recovering</w:t>
      </w:r>
      <w:r w:rsidRPr="00CA2C15">
        <w:rPr>
          <w:rFonts w:ascii="Calibri" w:eastAsia="Arial" w:hAnsi="Calibri" w:cs="Calibri"/>
          <w:color w:val="000000"/>
          <w:sz w:val="24"/>
          <w:szCs w:val="24"/>
        </w:rPr>
        <w:t xml:space="preserve"> costs. It is an aspect of </w:t>
      </w:r>
      <w:r w:rsidR="00D76F08" w:rsidRPr="00CA2C15">
        <w:rPr>
          <w:rFonts w:ascii="Calibri" w:eastAsia="Arial" w:hAnsi="Calibri" w:cs="Calibri"/>
          <w:color w:val="000000"/>
          <w:sz w:val="24"/>
          <w:szCs w:val="24"/>
        </w:rPr>
        <w:t xml:space="preserve">conduct </w:t>
      </w:r>
      <w:r w:rsidRPr="00CA2C15">
        <w:rPr>
          <w:rFonts w:ascii="Calibri" w:eastAsia="Arial" w:hAnsi="Calibri" w:cs="Calibri"/>
          <w:color w:val="000000"/>
          <w:sz w:val="24"/>
          <w:szCs w:val="24"/>
        </w:rPr>
        <w:t>specifically identified as having potential costs implications in CPR r.44.2(5) and in the PAP itself. See, for example:</w:t>
      </w:r>
    </w:p>
    <w:p w14:paraId="2C418DA2" w14:textId="77777777" w:rsidR="008E179D" w:rsidRPr="00CA2C15" w:rsidRDefault="00B935ED" w:rsidP="004423E8">
      <w:pPr>
        <w:numPr>
          <w:ilvl w:val="0"/>
          <w:numId w:val="44"/>
        </w:numPr>
        <w:spacing w:after="240" w:line="360" w:lineRule="auto"/>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In </w:t>
      </w:r>
      <w:r w:rsidRPr="00CA2C15">
        <w:rPr>
          <w:rFonts w:ascii="Calibri" w:eastAsia="Arial" w:hAnsi="Calibri" w:cs="Calibri"/>
          <w:i/>
          <w:iCs/>
          <w:color w:val="000000"/>
          <w:spacing w:val="-2"/>
          <w:sz w:val="24"/>
          <w:szCs w:val="24"/>
        </w:rPr>
        <w:t>R (William Kemp) v Denbighshire Local Health Board</w:t>
      </w:r>
      <w:r w:rsidRPr="00CA2C15">
        <w:rPr>
          <w:rFonts w:ascii="Calibri" w:eastAsia="Arial" w:hAnsi="Calibri" w:cs="Calibri"/>
          <w:color w:val="000000"/>
          <w:spacing w:val="-2"/>
          <w:sz w:val="24"/>
          <w:szCs w:val="24"/>
        </w:rPr>
        <w:t xml:space="preserve"> [2006] EWHC 181 (Admin), the Claimant had effectively succeeded in obtaining funding of his nursing home costs; but because he had failed to comply with the PAP, there was no evidence that the Defendant would not have offered a review had a protocol letter been written, so no order for costs was made;</w:t>
      </w:r>
    </w:p>
    <w:p w14:paraId="039E6AA3" w14:textId="77777777" w:rsidR="008E179D" w:rsidRPr="00CA2C15" w:rsidRDefault="00B935ED" w:rsidP="004423E8">
      <w:pPr>
        <w:numPr>
          <w:ilvl w:val="0"/>
          <w:numId w:val="44"/>
        </w:numPr>
        <w:spacing w:after="240" w:line="360" w:lineRule="auto"/>
        <w:jc w:val="both"/>
        <w:rPr>
          <w:rFonts w:ascii="Calibri" w:eastAsia="Arial" w:hAnsi="Calibri" w:cs="Calibri"/>
          <w:color w:val="000000"/>
          <w:spacing w:val="-2"/>
          <w:sz w:val="24"/>
          <w:szCs w:val="24"/>
        </w:rPr>
      </w:pPr>
      <w:r w:rsidRPr="00CA2C15">
        <w:rPr>
          <w:rFonts w:ascii="Calibri" w:eastAsia="Arial" w:hAnsi="Calibri" w:cs="Calibri"/>
          <w:color w:val="000000"/>
          <w:sz w:val="24"/>
          <w:szCs w:val="24"/>
        </w:rPr>
        <w:t xml:space="preserve">In </w:t>
      </w:r>
      <w:r w:rsidRPr="00CA2C15">
        <w:rPr>
          <w:rFonts w:ascii="Calibri" w:eastAsia="Arial" w:hAnsi="Calibri" w:cs="Calibri"/>
          <w:i/>
          <w:iCs/>
          <w:color w:val="000000"/>
          <w:sz w:val="24"/>
          <w:szCs w:val="24"/>
        </w:rPr>
        <w:t>Aegis Group Plc v Inland Revenue Commissioners</w:t>
      </w:r>
      <w:r w:rsidRPr="00CA2C15">
        <w:rPr>
          <w:rFonts w:ascii="Calibri" w:eastAsia="Arial" w:hAnsi="Calibri" w:cs="Calibri"/>
          <w:color w:val="000000"/>
          <w:sz w:val="24"/>
          <w:szCs w:val="24"/>
        </w:rPr>
        <w:t xml:space="preserve"> [2005] EWHC 1468 (Ch), the Claimant discontinued judicial review proceedings, and had achieved nothing sought in the claim, but because the Defendant took almost two months to reply to the Claimant’s initial protocol letter, it was awarded only 85% of its costs rather than 100%;</w:t>
      </w:r>
    </w:p>
    <w:p w14:paraId="28FA928E" w14:textId="7F954C5A" w:rsidR="004525FE" w:rsidRPr="00CA2C15" w:rsidRDefault="00B935ED" w:rsidP="004423E8">
      <w:pPr>
        <w:numPr>
          <w:ilvl w:val="0"/>
          <w:numId w:val="44"/>
        </w:numPr>
        <w:spacing w:after="240" w:line="360" w:lineRule="auto"/>
        <w:jc w:val="both"/>
        <w:rPr>
          <w:rFonts w:ascii="Calibri" w:eastAsia="Arial" w:hAnsi="Calibri" w:cs="Calibri"/>
          <w:color w:val="000000"/>
          <w:spacing w:val="-2"/>
          <w:sz w:val="24"/>
          <w:szCs w:val="24"/>
        </w:rPr>
      </w:pPr>
      <w:r w:rsidRPr="00CA2C15">
        <w:rPr>
          <w:rFonts w:ascii="Calibri" w:eastAsia="Arial" w:hAnsi="Calibri" w:cs="Calibri"/>
          <w:color w:val="000000"/>
          <w:sz w:val="24"/>
          <w:szCs w:val="24"/>
        </w:rPr>
        <w:t xml:space="preserve">The importance of compliance with the PAP and the costs implications of failure were emphasised by the Court of Appeal in </w:t>
      </w:r>
      <w:r w:rsidRPr="00CA2C15">
        <w:rPr>
          <w:rFonts w:ascii="Calibri" w:eastAsia="Arial" w:hAnsi="Calibri" w:cs="Calibri"/>
          <w:i/>
          <w:iCs/>
          <w:color w:val="000000"/>
          <w:sz w:val="24"/>
          <w:szCs w:val="24"/>
        </w:rPr>
        <w:t xml:space="preserve">R (Bahta) v. SSHD </w:t>
      </w:r>
      <w:r w:rsidRPr="00CA2C15">
        <w:rPr>
          <w:rFonts w:ascii="Calibri" w:eastAsia="Arial" w:hAnsi="Calibri" w:cs="Calibri"/>
          <w:color w:val="000000"/>
          <w:sz w:val="24"/>
          <w:szCs w:val="24"/>
        </w:rPr>
        <w:t>[2011] EWCA Civ 895</w:t>
      </w:r>
      <w:r w:rsidR="00506918" w:rsidRPr="00CA2C15">
        <w:rPr>
          <w:rFonts w:ascii="Calibri" w:eastAsia="Arial" w:hAnsi="Calibri" w:cs="Calibri"/>
          <w:color w:val="000000"/>
          <w:sz w:val="24"/>
          <w:szCs w:val="24"/>
        </w:rPr>
        <w:t>, para 59</w:t>
      </w:r>
      <w:r w:rsidRPr="00CA2C15">
        <w:rPr>
          <w:rFonts w:ascii="Calibri" w:eastAsia="Arial" w:hAnsi="Calibri" w:cs="Calibri"/>
          <w:color w:val="000000"/>
          <w:sz w:val="24"/>
          <w:szCs w:val="24"/>
        </w:rPr>
        <w:t>:</w:t>
      </w:r>
    </w:p>
    <w:p w14:paraId="1330E53A" w14:textId="0B9A26A0" w:rsidR="008E179D" w:rsidRPr="00CA2C15" w:rsidRDefault="00B935ED" w:rsidP="004423E8">
      <w:pPr>
        <w:spacing w:after="240" w:line="360" w:lineRule="auto"/>
        <w:ind w:left="1080"/>
        <w:jc w:val="both"/>
        <w:rPr>
          <w:rFonts w:ascii="Calibri" w:eastAsia="Arial" w:hAnsi="Calibri" w:cs="Calibri"/>
          <w:color w:val="000000"/>
          <w:spacing w:val="-2"/>
        </w:rPr>
      </w:pPr>
      <w:r w:rsidRPr="00CA2C15">
        <w:rPr>
          <w:rFonts w:ascii="Calibri" w:eastAsia="Arial" w:hAnsi="Calibri" w:cs="Calibri"/>
          <w:color w:val="000000"/>
        </w:rPr>
        <w:t>“</w:t>
      </w:r>
      <w:r w:rsidRPr="00CA2C15">
        <w:rPr>
          <w:rFonts w:ascii="Calibri" w:eastAsia="Arial" w:hAnsi="Calibri" w:cs="Calibri"/>
          <w:i/>
          <w:color w:val="000000"/>
        </w:rPr>
        <w:t xml:space="preserve">what is not acceptable is a state of mind in which the issues are not addressed by a Defendant once an adequately formulated letter of claim is received by the Defendant. In the absence of an adequate response, a Claimant is entitled to proceed to institute proceedings. If the </w:t>
      </w:r>
      <w:r w:rsidRPr="00CA2C15">
        <w:rPr>
          <w:rFonts w:ascii="Calibri" w:eastAsia="Arial" w:hAnsi="Calibri" w:cs="Calibri"/>
          <w:i/>
          <w:color w:val="000000"/>
          <w:sz w:val="24"/>
          <w:szCs w:val="24"/>
        </w:rPr>
        <w:t>C</w:t>
      </w:r>
      <w:r w:rsidRPr="00CA2C15">
        <w:rPr>
          <w:rFonts w:ascii="Calibri" w:eastAsia="Arial" w:hAnsi="Calibri" w:cs="Calibri"/>
          <w:i/>
          <w:color w:val="000000"/>
        </w:rPr>
        <w:t>laimant then obtains the relief sought, or substantially similar relief, the claimant can expect to be awarded costs against the defendant. Inherent in that approach, is the need for a defendant to follow the Practice Direction (Pre-Action Conduct) or any relevant Pre-Action Protocol...</w:t>
      </w:r>
      <w:r w:rsidRPr="00CA2C15">
        <w:rPr>
          <w:rFonts w:ascii="Calibri" w:eastAsia="Arial" w:hAnsi="Calibri" w:cs="Calibri"/>
          <w:color w:val="000000"/>
        </w:rPr>
        <w:t xml:space="preserve">” (we will be returning to Bahta </w:t>
      </w:r>
      <w:r w:rsidR="00BD2D31" w:rsidRPr="00CA2C15">
        <w:rPr>
          <w:rFonts w:ascii="Calibri" w:eastAsia="Arial" w:hAnsi="Calibri" w:cs="Calibri"/>
          <w:color w:val="000000"/>
        </w:rPr>
        <w:t>in session 6</w:t>
      </w:r>
      <w:r w:rsidRPr="00CA2C15">
        <w:rPr>
          <w:rFonts w:ascii="Calibri" w:eastAsia="Arial" w:hAnsi="Calibri" w:cs="Calibri"/>
          <w:color w:val="000000"/>
        </w:rPr>
        <w:t>);</w:t>
      </w:r>
    </w:p>
    <w:p w14:paraId="1DF2D83E" w14:textId="37C4C7C7" w:rsidR="00B935ED" w:rsidRPr="00CA2C15" w:rsidRDefault="00B935ED" w:rsidP="004423E8">
      <w:pPr>
        <w:numPr>
          <w:ilvl w:val="0"/>
          <w:numId w:val="44"/>
        </w:numPr>
        <w:spacing w:after="240" w:line="360" w:lineRule="auto"/>
        <w:jc w:val="both"/>
        <w:rPr>
          <w:rFonts w:ascii="Calibri" w:eastAsia="Arial" w:hAnsi="Calibri" w:cs="Calibri"/>
          <w:color w:val="000000"/>
          <w:spacing w:val="-2"/>
          <w:sz w:val="24"/>
          <w:szCs w:val="24"/>
        </w:rPr>
      </w:pPr>
      <w:r w:rsidRPr="00CA2C15">
        <w:rPr>
          <w:rFonts w:ascii="Calibri" w:eastAsia="Arial" w:hAnsi="Calibri" w:cs="Calibri"/>
          <w:color w:val="000000"/>
          <w:sz w:val="24"/>
          <w:szCs w:val="24"/>
        </w:rPr>
        <w:t xml:space="preserve">Although see </w:t>
      </w:r>
      <w:r w:rsidRPr="00CA2C15">
        <w:rPr>
          <w:rFonts w:ascii="Calibri" w:eastAsia="Arial" w:hAnsi="Calibri" w:cs="Calibri"/>
          <w:i/>
          <w:color w:val="000000"/>
          <w:sz w:val="24"/>
          <w:szCs w:val="24"/>
        </w:rPr>
        <w:t xml:space="preserve">R (KR) v. SSHD </w:t>
      </w:r>
      <w:r w:rsidRPr="00CA2C15">
        <w:rPr>
          <w:rFonts w:ascii="Calibri" w:eastAsia="Arial" w:hAnsi="Calibri" w:cs="Calibri"/>
          <w:color w:val="000000"/>
          <w:sz w:val="24"/>
          <w:szCs w:val="24"/>
        </w:rPr>
        <w:t>[2012] EWCA Civ 1555: no compliance whatsoever with the PAP, but this “</w:t>
      </w:r>
      <w:r w:rsidRPr="00CA2C15">
        <w:rPr>
          <w:rFonts w:ascii="Calibri" w:eastAsia="Arial" w:hAnsi="Calibri" w:cs="Calibri"/>
          <w:i/>
          <w:color w:val="000000"/>
          <w:sz w:val="24"/>
          <w:szCs w:val="24"/>
        </w:rPr>
        <w:t>failure was causally insignificant</w:t>
      </w:r>
      <w:r w:rsidRPr="00CA2C15">
        <w:rPr>
          <w:rFonts w:ascii="Calibri" w:eastAsia="Arial" w:hAnsi="Calibri" w:cs="Calibri"/>
          <w:color w:val="000000"/>
          <w:sz w:val="24"/>
          <w:szCs w:val="24"/>
        </w:rPr>
        <w:t>,” the Court of Appeal held (see Maurice Kay LJ at para. 12; this is also covered below in relation to urgent cases).</w:t>
      </w:r>
    </w:p>
    <w:p w14:paraId="085E9732" w14:textId="77777777" w:rsidR="00B935ED" w:rsidRPr="00CA2C15" w:rsidRDefault="00B935ED" w:rsidP="00E966FC">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pacing w:val="-1"/>
          <w:sz w:val="24"/>
          <w:szCs w:val="24"/>
          <w:u w:val="single"/>
        </w:rPr>
        <w:t>PROCEDURAL</w:t>
      </w:r>
      <w:r w:rsidRPr="00CA2C15">
        <w:rPr>
          <w:rFonts w:ascii="Calibri" w:eastAsia="Arial" w:hAnsi="Calibri" w:cs="Calibri"/>
          <w:b/>
          <w:color w:val="000000"/>
          <w:sz w:val="24"/>
          <w:szCs w:val="24"/>
          <w:u w:val="single"/>
        </w:rPr>
        <w:t xml:space="preserve"> RIGOUR</w:t>
      </w:r>
    </w:p>
    <w:p w14:paraId="2FDB1662" w14:textId="1DB4CE18"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Administrative Court has emphasised the need for procedural rigour in judicial review: in other words, parties and their legal representatives must </w:t>
      </w:r>
      <w:r w:rsidRPr="00CA2C15">
        <w:rPr>
          <w:rFonts w:ascii="Calibri" w:eastAsia="Times New Roman" w:hAnsi="Calibri" w:cs="Calibri"/>
          <w:sz w:val="24"/>
          <w:szCs w:val="20"/>
          <w:lang w:val="en-GB"/>
        </w:rPr>
        <w:t>observe</w:t>
      </w:r>
      <w:r w:rsidRPr="00CA2C15">
        <w:rPr>
          <w:rFonts w:ascii="Calibri" w:eastAsia="Arial" w:hAnsi="Calibri" w:cs="Calibri"/>
          <w:color w:val="000000"/>
          <w:sz w:val="24"/>
          <w:szCs w:val="24"/>
        </w:rPr>
        <w:t xml:space="preserve"> the rules. Therefore it is imperative that practitioners comply with the court’s procedures and rules at all stages of a claim, from the pre-action stage, to preparing to issue the claim and right the way through to the conclusion of the claim. If parties or their legal representatives fail to comply with these procedural requirements then the court has a range of sanctions at its disposal including the powers:</w:t>
      </w:r>
    </w:p>
    <w:p w14:paraId="02F67071" w14:textId="77777777" w:rsidR="00B935ED" w:rsidRPr="00CA2C15" w:rsidRDefault="00B935ED" w:rsidP="004423E8">
      <w:pPr>
        <w:pStyle w:val="ListParagraph"/>
        <w:numPr>
          <w:ilvl w:val="0"/>
          <w:numId w:val="43"/>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To decline to accept documents filed in the wrong format;</w:t>
      </w:r>
    </w:p>
    <w:p w14:paraId="4344536D" w14:textId="77777777" w:rsidR="00B935ED" w:rsidRPr="00CA2C15" w:rsidRDefault="00B935ED" w:rsidP="004423E8">
      <w:pPr>
        <w:pStyle w:val="ListParagraph"/>
        <w:numPr>
          <w:ilvl w:val="0"/>
          <w:numId w:val="43"/>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To impose adverse costs orders against a party or a wasted costs order against a legal representative;</w:t>
      </w:r>
    </w:p>
    <w:p w14:paraId="2F41552B" w14:textId="77777777" w:rsidR="00B935ED" w:rsidRPr="00CA2C15" w:rsidRDefault="00B935ED" w:rsidP="004423E8">
      <w:pPr>
        <w:pStyle w:val="ListParagraph"/>
        <w:numPr>
          <w:ilvl w:val="0"/>
          <w:numId w:val="43"/>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To refer a legal representative to the relevant professional regulator.</w:t>
      </w:r>
    </w:p>
    <w:p w14:paraId="786D118F" w14:textId="3404BC1C" w:rsidR="00B935ED" w:rsidRPr="00CA2C15" w:rsidRDefault="00B935ED" w:rsidP="006E3B69">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pacing w:val="-1"/>
          <w:sz w:val="24"/>
          <w:szCs w:val="24"/>
          <w:u w:val="single"/>
        </w:rPr>
        <w:t>PREPARING</w:t>
      </w:r>
      <w:r w:rsidRPr="00CA2C15">
        <w:rPr>
          <w:rFonts w:ascii="Calibri" w:eastAsia="Arial" w:hAnsi="Calibri" w:cs="Calibri"/>
          <w:b/>
          <w:color w:val="000000"/>
          <w:sz w:val="24"/>
          <w:szCs w:val="24"/>
          <w:u w:val="single"/>
        </w:rPr>
        <w:t xml:space="preserve"> TO ISSUE</w:t>
      </w:r>
    </w:p>
    <w:p w14:paraId="0B478AF8" w14:textId="7777777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Once </w:t>
      </w:r>
      <w:r w:rsidRPr="00CA2C15">
        <w:rPr>
          <w:rFonts w:ascii="Calibri" w:eastAsia="Times New Roman" w:hAnsi="Calibri" w:cs="Calibri"/>
          <w:sz w:val="24"/>
          <w:szCs w:val="20"/>
          <w:lang w:val="en-GB"/>
        </w:rPr>
        <w:t>you</w:t>
      </w:r>
      <w:r w:rsidRPr="00CA2C15">
        <w:rPr>
          <w:rFonts w:ascii="Calibri" w:eastAsia="Arial" w:hAnsi="Calibri" w:cs="Calibri"/>
          <w:color w:val="000000"/>
          <w:sz w:val="24"/>
          <w:szCs w:val="24"/>
        </w:rPr>
        <w:t xml:space="preserve"> have identified that the case is likely to be pursued by way of judicial review, you must address the practical issues of preparing the claim.</w:t>
      </w:r>
    </w:p>
    <w:p w14:paraId="52AB14D9" w14:textId="7777777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Always</w:t>
      </w:r>
      <w:r w:rsidRPr="00CA2C15">
        <w:rPr>
          <w:rFonts w:ascii="Calibri" w:eastAsia="Arial" w:hAnsi="Calibri" w:cs="Calibri"/>
          <w:color w:val="000000"/>
          <w:sz w:val="24"/>
          <w:szCs w:val="24"/>
        </w:rPr>
        <w:t xml:space="preserve"> keep in mind what the client wants to achieve, and whether this is the best way to go about it. At each stage review whether you are likely to meet the client’s end goal.</w:t>
      </w:r>
    </w:p>
    <w:p w14:paraId="084BB0FC" w14:textId="48C77EEB"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terms of preparation, the division of labour between solicitor and counsel is usually that the solicitor prepares the claim form and witness statement(s) in support </w:t>
      </w:r>
      <w:r w:rsidR="001C5E4F" w:rsidRPr="00CA2C15">
        <w:rPr>
          <w:rFonts w:ascii="Calibri" w:eastAsia="Arial" w:hAnsi="Calibri" w:cs="Calibri"/>
          <w:color w:val="000000"/>
          <w:sz w:val="24"/>
          <w:szCs w:val="24"/>
        </w:rPr>
        <w:t xml:space="preserve">of the claim </w:t>
      </w:r>
      <w:r w:rsidRPr="00CA2C15">
        <w:rPr>
          <w:rFonts w:ascii="Calibri" w:eastAsia="Arial" w:hAnsi="Calibri" w:cs="Calibri"/>
          <w:color w:val="000000"/>
          <w:sz w:val="24"/>
          <w:szCs w:val="24"/>
        </w:rPr>
        <w:t>and counsel drafts the grounds. These are the three key documents/ types of documents required for the claim.</w:t>
      </w:r>
    </w:p>
    <w:p w14:paraId="5AD17974" w14:textId="33C87F46" w:rsidR="00B935ED" w:rsidRPr="00CA2C15" w:rsidRDefault="00B935ED" w:rsidP="0041674E">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You will also need to prepare the permission bundle (see below), </w:t>
      </w:r>
      <w:r w:rsidR="00546D3F" w:rsidRPr="00CA2C15">
        <w:rPr>
          <w:rFonts w:ascii="Calibri" w:eastAsia="Arial" w:hAnsi="Calibri" w:cs="Calibri"/>
          <w:color w:val="000000"/>
          <w:sz w:val="24"/>
          <w:szCs w:val="24"/>
        </w:rPr>
        <w:t>which should be filed electronically</w:t>
      </w:r>
      <w:r w:rsidRPr="00CA2C15">
        <w:rPr>
          <w:rFonts w:ascii="Calibri" w:eastAsia="Arial" w:hAnsi="Calibri" w:cs="Calibri"/>
          <w:color w:val="000000"/>
          <w:sz w:val="24"/>
          <w:szCs w:val="24"/>
        </w:rPr>
        <w:t>.</w:t>
      </w:r>
      <w:r w:rsidR="00446B00" w:rsidRPr="00CA2C15">
        <w:rPr>
          <w:rStyle w:val="FootnoteReference"/>
          <w:rFonts w:ascii="Calibri" w:eastAsia="Arial" w:hAnsi="Calibri" w:cs="Calibri"/>
          <w:color w:val="000000"/>
          <w:sz w:val="24"/>
          <w:szCs w:val="24"/>
        </w:rPr>
        <w:footnoteReference w:id="8"/>
      </w:r>
      <w:r w:rsidRPr="00CA2C15">
        <w:rPr>
          <w:rFonts w:ascii="Calibri" w:eastAsia="Arial" w:hAnsi="Calibri" w:cs="Calibri"/>
          <w:color w:val="000000"/>
          <w:sz w:val="24"/>
          <w:szCs w:val="24"/>
        </w:rPr>
        <w:t xml:space="preserve"> Once you have received a reply from the </w:t>
      </w:r>
      <w:r w:rsidR="000545B6"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to the letter before claim (or the 14 day</w:t>
      </w:r>
      <w:r w:rsidR="00C102F6" w:rsidRPr="00CA2C15">
        <w:rPr>
          <w:rFonts w:ascii="Calibri" w:eastAsia="Arial" w:hAnsi="Calibri" w:cs="Calibri"/>
          <w:color w:val="000000"/>
          <w:sz w:val="24"/>
          <w:szCs w:val="24"/>
        </w:rPr>
        <w:t xml:space="preserve"> specified</w:t>
      </w:r>
      <w:r w:rsidRPr="00CA2C15">
        <w:rPr>
          <w:rFonts w:ascii="Calibri" w:eastAsia="Arial" w:hAnsi="Calibri" w:cs="Calibri"/>
          <w:color w:val="000000"/>
          <w:sz w:val="24"/>
          <w:szCs w:val="24"/>
        </w:rPr>
        <w:t xml:space="preserve"> reply time has run out), and you advise your client to </w:t>
      </w:r>
      <w:r w:rsidRPr="00CA2C15">
        <w:rPr>
          <w:rFonts w:ascii="Calibri" w:eastAsia="Times New Roman" w:hAnsi="Calibri" w:cs="Calibri"/>
          <w:sz w:val="24"/>
          <w:szCs w:val="20"/>
          <w:lang w:val="en-GB"/>
        </w:rPr>
        <w:t>proceed</w:t>
      </w:r>
      <w:r w:rsidRPr="00CA2C15">
        <w:rPr>
          <w:rFonts w:ascii="Calibri" w:eastAsia="Arial" w:hAnsi="Calibri" w:cs="Calibri"/>
          <w:color w:val="000000"/>
          <w:sz w:val="24"/>
          <w:szCs w:val="24"/>
        </w:rPr>
        <w:t>, you will need to instruct counsel to draft the grounds as soon as possible. In the meantime, you should start preparing the permission bundle. You can in fact double-up on some tasks by preparing the papers for counsel in the order they are likely to be in the permission bundle, and even using a draft statement as the basis of your instructions (or vice versa).</w:t>
      </w:r>
    </w:p>
    <w:p w14:paraId="312D430A" w14:textId="77777777" w:rsidR="00B935ED" w:rsidRPr="00CA2C15" w:rsidRDefault="00B935ED" w:rsidP="0041674E">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likely </w:t>
      </w:r>
      <w:r w:rsidRPr="00CA2C15">
        <w:rPr>
          <w:rFonts w:ascii="Calibri" w:eastAsia="Times New Roman" w:hAnsi="Calibri" w:cs="Calibri"/>
          <w:sz w:val="24"/>
          <w:szCs w:val="20"/>
          <w:lang w:val="en-GB"/>
        </w:rPr>
        <w:t>order</w:t>
      </w:r>
      <w:r w:rsidRPr="00CA2C15">
        <w:rPr>
          <w:rFonts w:ascii="Calibri" w:eastAsia="Arial" w:hAnsi="Calibri" w:cs="Calibri"/>
          <w:color w:val="000000"/>
          <w:sz w:val="24"/>
          <w:szCs w:val="24"/>
        </w:rPr>
        <w:t xml:space="preserve"> for the bundle is as follows:</w:t>
      </w:r>
    </w:p>
    <w:p w14:paraId="30719FB0" w14:textId="11C4324B" w:rsidR="00B935ED" w:rsidRPr="00CA2C15" w:rsidRDefault="00B935ED"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List of essential reading</w:t>
      </w:r>
      <w:r w:rsidR="00FC12A3" w:rsidRPr="00CA2C15">
        <w:rPr>
          <w:rFonts w:ascii="Calibri" w:eastAsia="Arial" w:hAnsi="Calibri" w:cs="Calibri"/>
          <w:color w:val="000000"/>
          <w:sz w:val="24"/>
          <w:szCs w:val="24"/>
        </w:rPr>
        <w:t xml:space="preserve"> (usually clearly marked on the bundle index)</w:t>
      </w:r>
    </w:p>
    <w:p w14:paraId="1208009A" w14:textId="77777777" w:rsidR="00B935ED" w:rsidRPr="00CA2C15" w:rsidRDefault="00B935ED"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Index</w:t>
      </w:r>
    </w:p>
    <w:p w14:paraId="580BC95E" w14:textId="59D437D5" w:rsidR="00B935ED" w:rsidRPr="00CA2C15" w:rsidRDefault="00B935ED"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Urgent consideration application, N463</w:t>
      </w:r>
      <w:r w:rsidR="00585230" w:rsidRPr="00CA2C15">
        <w:rPr>
          <w:rFonts w:ascii="Calibri" w:eastAsia="Arial" w:hAnsi="Calibri" w:cs="Calibri"/>
          <w:color w:val="000000"/>
          <w:sz w:val="24"/>
          <w:szCs w:val="24"/>
        </w:rPr>
        <w:t xml:space="preserve"> </w:t>
      </w:r>
      <w:r w:rsidR="007E71CA" w:rsidRPr="00CA2C15">
        <w:rPr>
          <w:rFonts w:ascii="Calibri" w:eastAsia="Arial" w:hAnsi="Calibri" w:cs="Calibri"/>
          <w:color w:val="000000"/>
          <w:sz w:val="24"/>
          <w:szCs w:val="24"/>
        </w:rPr>
        <w:t>(</w:t>
      </w:r>
      <w:r w:rsidR="00585230" w:rsidRPr="00CA2C15">
        <w:rPr>
          <w:rFonts w:ascii="Calibri" w:eastAsia="Arial" w:hAnsi="Calibri" w:cs="Calibri"/>
          <w:color w:val="000000"/>
          <w:sz w:val="24"/>
          <w:szCs w:val="24"/>
        </w:rPr>
        <w:t xml:space="preserve">or UTIAC4 for </w:t>
      </w:r>
      <w:r w:rsidR="007E71CA" w:rsidRPr="00CA2C15">
        <w:rPr>
          <w:rFonts w:ascii="Calibri" w:eastAsia="Arial" w:hAnsi="Calibri" w:cs="Calibri"/>
          <w:color w:val="000000"/>
          <w:sz w:val="24"/>
          <w:szCs w:val="24"/>
        </w:rPr>
        <w:t>Upper Tribunal Immigration and Asylum Chamber</w:t>
      </w:r>
      <w:r w:rsidR="00E2404B" w:rsidRPr="00CA2C15">
        <w:rPr>
          <w:rFonts w:ascii="Calibri" w:eastAsia="Arial" w:hAnsi="Calibri" w:cs="Calibri"/>
          <w:color w:val="000000"/>
          <w:sz w:val="24"/>
          <w:szCs w:val="24"/>
        </w:rPr>
        <w:t xml:space="preserve"> (UTIAC)</w:t>
      </w:r>
      <w:r w:rsidR="007E71CA" w:rsidRPr="00CA2C15">
        <w:rPr>
          <w:rFonts w:ascii="Calibri" w:eastAsia="Arial" w:hAnsi="Calibri" w:cs="Calibri"/>
          <w:color w:val="000000"/>
          <w:sz w:val="24"/>
          <w:szCs w:val="24"/>
        </w:rPr>
        <w:t>)</w:t>
      </w:r>
      <w:r w:rsidRPr="00CA2C15">
        <w:rPr>
          <w:rFonts w:ascii="Calibri" w:eastAsia="Arial" w:hAnsi="Calibri" w:cs="Calibri"/>
          <w:color w:val="000000"/>
          <w:sz w:val="24"/>
          <w:szCs w:val="24"/>
        </w:rPr>
        <w:t>, and draft interim order (if appropriate)</w:t>
      </w:r>
    </w:p>
    <w:p w14:paraId="70CEB52B" w14:textId="14D9D2B4" w:rsidR="00446B00" w:rsidRPr="00CA2C15" w:rsidRDefault="00B935ED"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Claim form, N461 (</w:t>
      </w:r>
      <w:r w:rsidR="00207B44" w:rsidRPr="00CA2C15">
        <w:rPr>
          <w:rFonts w:ascii="Calibri" w:eastAsia="Arial" w:hAnsi="Calibri" w:cs="Calibri"/>
          <w:color w:val="000000"/>
          <w:sz w:val="24"/>
          <w:szCs w:val="24"/>
        </w:rPr>
        <w:t xml:space="preserve">Form UTIAC1 </w:t>
      </w:r>
      <w:r w:rsidRPr="00CA2C15">
        <w:rPr>
          <w:rFonts w:ascii="Calibri" w:eastAsia="Arial" w:hAnsi="Calibri" w:cs="Calibri"/>
          <w:color w:val="000000"/>
          <w:sz w:val="24"/>
          <w:szCs w:val="24"/>
        </w:rPr>
        <w:t>in the Upper Tribunal – see more on this below)</w:t>
      </w:r>
    </w:p>
    <w:p w14:paraId="3B30B00B" w14:textId="4846551B" w:rsidR="00446B00" w:rsidRPr="00CA2C15" w:rsidRDefault="00B935ED"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A clear and concise “Statement of Facts</w:t>
      </w:r>
      <w:r w:rsidR="00832E90" w:rsidRPr="00CA2C15">
        <w:rPr>
          <w:rFonts w:ascii="Calibri" w:eastAsia="Arial" w:hAnsi="Calibri" w:cs="Calibri"/>
          <w:color w:val="000000"/>
          <w:sz w:val="24"/>
          <w:szCs w:val="24"/>
        </w:rPr>
        <w:t xml:space="preserve"> and Grounds</w:t>
      </w:r>
      <w:r w:rsidRPr="00CA2C15">
        <w:rPr>
          <w:rFonts w:ascii="Calibri" w:eastAsia="Arial" w:hAnsi="Calibri" w:cs="Calibri"/>
          <w:color w:val="000000"/>
          <w:sz w:val="24"/>
          <w:szCs w:val="24"/>
        </w:rPr>
        <w:t>”</w:t>
      </w:r>
    </w:p>
    <w:p w14:paraId="6841CC4B" w14:textId="14BF0A0C" w:rsidR="00446B00" w:rsidRPr="00CA2C15" w:rsidRDefault="00B935ED"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Witness</w:t>
      </w:r>
      <w:r w:rsidRPr="00CA2C15">
        <w:rPr>
          <w:rFonts w:ascii="Calibri" w:eastAsia="Arial" w:hAnsi="Calibri" w:cs="Calibri"/>
          <w:color w:val="000000"/>
          <w:sz w:val="24"/>
          <w:szCs w:val="24"/>
        </w:rPr>
        <w:t xml:space="preserve"> statement</w:t>
      </w:r>
      <w:r w:rsidR="00B94D6D" w:rsidRPr="00CA2C15">
        <w:rPr>
          <w:rFonts w:ascii="Calibri" w:eastAsia="Arial" w:hAnsi="Calibri" w:cs="Calibri"/>
          <w:color w:val="000000"/>
          <w:sz w:val="24"/>
          <w:szCs w:val="24"/>
        </w:rPr>
        <w:t>s</w:t>
      </w:r>
      <w:r w:rsidRPr="00CA2C15">
        <w:rPr>
          <w:rFonts w:ascii="Calibri" w:eastAsia="Arial" w:hAnsi="Calibri" w:cs="Calibri"/>
          <w:color w:val="000000"/>
          <w:sz w:val="24"/>
          <w:szCs w:val="24"/>
        </w:rPr>
        <w:t xml:space="preserve"> from you and/or client</w:t>
      </w:r>
      <w:r w:rsidR="0044735C" w:rsidRPr="00CA2C15">
        <w:rPr>
          <w:rFonts w:ascii="Calibri" w:eastAsia="Arial" w:hAnsi="Calibri" w:cs="Calibri"/>
          <w:color w:val="000000"/>
          <w:sz w:val="24"/>
          <w:szCs w:val="24"/>
        </w:rPr>
        <w:t xml:space="preserve"> </w:t>
      </w:r>
      <w:r w:rsidR="00B94D6D" w:rsidRPr="00CA2C15">
        <w:rPr>
          <w:rFonts w:ascii="Calibri" w:eastAsia="Arial" w:hAnsi="Calibri" w:cs="Calibri"/>
          <w:color w:val="000000"/>
          <w:sz w:val="24"/>
          <w:szCs w:val="24"/>
        </w:rPr>
        <w:t>and</w:t>
      </w:r>
      <w:r w:rsidR="0044735C" w:rsidRPr="00CA2C15">
        <w:rPr>
          <w:rFonts w:ascii="Calibri" w:eastAsia="Arial" w:hAnsi="Calibri" w:cs="Calibri"/>
          <w:color w:val="000000"/>
          <w:sz w:val="24"/>
          <w:szCs w:val="24"/>
        </w:rPr>
        <w:t xml:space="preserve"> any other supporting statements</w:t>
      </w:r>
    </w:p>
    <w:p w14:paraId="7497CEC9" w14:textId="64572563" w:rsidR="00446B00" w:rsidRPr="00CA2C15" w:rsidRDefault="00B935ED"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Relevant correspondence and other documents, preferably in chronological order (oldest document first) or grouped </w:t>
      </w:r>
      <w:r w:rsidRPr="00CA2C15">
        <w:rPr>
          <w:rFonts w:ascii="Calibri" w:eastAsia="Times New Roman" w:hAnsi="Calibri" w:cs="Calibri"/>
          <w:sz w:val="24"/>
          <w:szCs w:val="20"/>
          <w:lang w:val="en-GB"/>
        </w:rPr>
        <w:t>appropriately</w:t>
      </w:r>
    </w:p>
    <w:p w14:paraId="58C6D247" w14:textId="4C9D71BA" w:rsidR="00446B00" w:rsidRPr="00CA2C15" w:rsidRDefault="00B935ED"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Primary</w:t>
      </w:r>
      <w:r w:rsidRPr="00CA2C15">
        <w:rPr>
          <w:rFonts w:ascii="Calibri" w:eastAsia="Arial" w:hAnsi="Calibri" w:cs="Calibri"/>
          <w:color w:val="000000"/>
          <w:sz w:val="24"/>
          <w:szCs w:val="24"/>
        </w:rPr>
        <w:t xml:space="preserve"> and secondary legislatio</w:t>
      </w:r>
      <w:r w:rsidR="00446B00" w:rsidRPr="00CA2C15">
        <w:rPr>
          <w:rFonts w:ascii="Calibri" w:eastAsia="Arial" w:hAnsi="Calibri" w:cs="Calibri"/>
          <w:color w:val="000000"/>
          <w:sz w:val="24"/>
          <w:szCs w:val="24"/>
        </w:rPr>
        <w:t>n</w:t>
      </w:r>
    </w:p>
    <w:p w14:paraId="5D8C5BFC" w14:textId="5B72F0B2" w:rsidR="00446B00" w:rsidRPr="00CA2C15" w:rsidRDefault="00F9714F"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Relevant g</w:t>
      </w:r>
      <w:r w:rsidR="00B935ED" w:rsidRPr="00CA2C15">
        <w:rPr>
          <w:rFonts w:ascii="Calibri" w:eastAsia="Times New Roman" w:hAnsi="Calibri" w:cs="Calibri"/>
          <w:sz w:val="24"/>
          <w:szCs w:val="20"/>
          <w:lang w:val="en-GB"/>
        </w:rPr>
        <w:t>uidance</w:t>
      </w:r>
      <w:r w:rsidR="00B935ED" w:rsidRPr="00CA2C15">
        <w:rPr>
          <w:rFonts w:ascii="Calibri" w:eastAsia="Arial" w:hAnsi="Calibri" w:cs="Calibri"/>
          <w:color w:val="000000"/>
          <w:sz w:val="24"/>
          <w:szCs w:val="24"/>
        </w:rPr>
        <w:t>/ policies</w:t>
      </w:r>
    </w:p>
    <w:p w14:paraId="1FB1A618" w14:textId="2DC76E48" w:rsidR="00B935ED" w:rsidRPr="00CA2C15" w:rsidRDefault="00B935ED" w:rsidP="008F41FB">
      <w:pPr>
        <w:numPr>
          <w:ilvl w:val="0"/>
          <w:numId w:val="10"/>
        </w:numPr>
        <w:tabs>
          <w:tab w:val="clear" w:pos="1835"/>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Copy</w:t>
      </w:r>
      <w:r w:rsidR="00F9714F" w:rsidRPr="00CA2C15">
        <w:rPr>
          <w:rFonts w:ascii="Calibri" w:eastAsia="Times New Roman" w:hAnsi="Calibri" w:cs="Calibri"/>
          <w:sz w:val="24"/>
          <w:szCs w:val="20"/>
          <w:lang w:val="en-GB"/>
        </w:rPr>
        <w:t xml:space="preserve"> </w:t>
      </w:r>
      <w:r w:rsidR="00821E36" w:rsidRPr="00CA2C15">
        <w:rPr>
          <w:rFonts w:ascii="Calibri" w:eastAsia="Arial" w:hAnsi="Calibri" w:cs="Calibri"/>
          <w:color w:val="000000"/>
          <w:sz w:val="24"/>
          <w:szCs w:val="24"/>
        </w:rPr>
        <w:t xml:space="preserve">of </w:t>
      </w:r>
      <w:r w:rsidRPr="00CA2C15">
        <w:rPr>
          <w:rFonts w:ascii="Calibri" w:eastAsia="Arial" w:hAnsi="Calibri" w:cs="Calibri"/>
          <w:color w:val="000000"/>
          <w:sz w:val="24"/>
          <w:szCs w:val="24"/>
        </w:rPr>
        <w:t>notice of issue</w:t>
      </w:r>
      <w:r w:rsidR="00821E36" w:rsidRPr="00CA2C15">
        <w:rPr>
          <w:rFonts w:ascii="Calibri" w:eastAsia="Arial" w:hAnsi="Calibri" w:cs="Calibri"/>
          <w:color w:val="000000"/>
          <w:sz w:val="24"/>
          <w:szCs w:val="24"/>
        </w:rPr>
        <w:t xml:space="preserve"> of public funding</w:t>
      </w:r>
      <w:r w:rsidRPr="00CA2C15">
        <w:rPr>
          <w:rFonts w:ascii="Calibri" w:eastAsia="Arial" w:hAnsi="Calibri" w:cs="Calibri"/>
          <w:color w:val="000000"/>
          <w:sz w:val="24"/>
          <w:szCs w:val="24"/>
        </w:rPr>
        <w:t xml:space="preserve"> (if </w:t>
      </w:r>
      <w:r w:rsidR="0012248A" w:rsidRPr="00CA2C15">
        <w:rPr>
          <w:rFonts w:ascii="Calibri" w:eastAsia="Arial" w:hAnsi="Calibri" w:cs="Calibri"/>
          <w:color w:val="000000"/>
          <w:sz w:val="24"/>
          <w:szCs w:val="24"/>
        </w:rPr>
        <w:t>client is legally aided</w:t>
      </w:r>
      <w:r w:rsidRPr="00CA2C15">
        <w:rPr>
          <w:rFonts w:ascii="Calibri" w:eastAsia="Arial" w:hAnsi="Calibri" w:cs="Calibri"/>
          <w:color w:val="000000"/>
          <w:sz w:val="24"/>
          <w:szCs w:val="24"/>
        </w:rPr>
        <w:t>).</w:t>
      </w:r>
    </w:p>
    <w:p w14:paraId="1E8FA890" w14:textId="33314F8B" w:rsidR="005370CE" w:rsidRPr="00CA2C15" w:rsidRDefault="00B935ED" w:rsidP="0012248A">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0012248A" w:rsidRPr="00CA2C15">
        <w:rPr>
          <w:rFonts w:ascii="Calibri" w:eastAsia="Times New Roman" w:hAnsi="Calibri" w:cs="Calibri"/>
          <w:sz w:val="24"/>
          <w:szCs w:val="20"/>
          <w:lang w:val="en-GB"/>
        </w:rPr>
        <w:t>c</w:t>
      </w:r>
      <w:r w:rsidRPr="00CA2C15">
        <w:rPr>
          <w:rFonts w:ascii="Calibri" w:eastAsia="Times New Roman" w:hAnsi="Calibri" w:cs="Calibri"/>
          <w:sz w:val="24"/>
          <w:szCs w:val="20"/>
          <w:lang w:val="en-GB"/>
        </w:rPr>
        <w:t>laim</w:t>
      </w:r>
      <w:r w:rsidRPr="00CA2C15">
        <w:rPr>
          <w:rFonts w:ascii="Calibri" w:eastAsia="Arial" w:hAnsi="Calibri" w:cs="Calibri"/>
          <w:color w:val="000000"/>
          <w:sz w:val="24"/>
          <w:szCs w:val="24"/>
        </w:rPr>
        <w:t xml:space="preserve"> </w:t>
      </w:r>
      <w:r w:rsidR="0012248A" w:rsidRPr="00CA2C15">
        <w:rPr>
          <w:rFonts w:ascii="Calibri" w:eastAsia="Arial" w:hAnsi="Calibri" w:cs="Calibri"/>
          <w:color w:val="000000"/>
          <w:sz w:val="24"/>
          <w:szCs w:val="24"/>
        </w:rPr>
        <w:t>f</w:t>
      </w:r>
      <w:r w:rsidRPr="00CA2C15">
        <w:rPr>
          <w:rFonts w:ascii="Calibri" w:eastAsia="Arial" w:hAnsi="Calibri" w:cs="Calibri"/>
          <w:color w:val="000000"/>
          <w:sz w:val="24"/>
          <w:szCs w:val="24"/>
        </w:rPr>
        <w:t>orm must include or be accompanied by the following documents</w:t>
      </w:r>
      <w:r w:rsidR="00D32EA6" w:rsidRPr="00CA2C15">
        <w:rPr>
          <w:rFonts w:ascii="Calibri" w:eastAsia="Arial" w:hAnsi="Calibri" w:cs="Calibri"/>
          <w:color w:val="000000"/>
          <w:sz w:val="24"/>
          <w:szCs w:val="24"/>
        </w:rPr>
        <w:t xml:space="preserve"> (often combined into one document in judicial reviews)</w:t>
      </w:r>
      <w:r w:rsidR="00BB560B" w:rsidRPr="00CA2C15">
        <w:rPr>
          <w:rFonts w:ascii="Calibri" w:eastAsia="Arial" w:hAnsi="Calibri" w:cs="Calibri"/>
          <w:color w:val="000000"/>
          <w:sz w:val="24"/>
          <w:szCs w:val="24"/>
        </w:rPr>
        <w:t>:</w:t>
      </w:r>
    </w:p>
    <w:p w14:paraId="0B9F8468" w14:textId="77777777" w:rsidR="005370CE" w:rsidRPr="00CA2C15" w:rsidRDefault="00B935ED" w:rsidP="0012248A">
      <w:pPr>
        <w:pStyle w:val="ListParagraph"/>
        <w:numPr>
          <w:ilvl w:val="0"/>
          <w:numId w:val="25"/>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a clear and concise statement of the facts relied on set out in numbered paragraphs – “the Statement of Facts”; and</w:t>
      </w:r>
    </w:p>
    <w:p w14:paraId="48003624" w14:textId="05C56682" w:rsidR="002C4470" w:rsidRPr="00CA2C15" w:rsidRDefault="00B935ED" w:rsidP="0012248A">
      <w:pPr>
        <w:pStyle w:val="ListParagraph"/>
        <w:numPr>
          <w:ilvl w:val="0"/>
          <w:numId w:val="25"/>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 clear and concise statement of the grounds for bringing the claim – “the Statement of Grounds”. The Statement of Grounds should: identify in separate, numbered paragraphs each ground of challenge; identify the relevant provision or principle of law said to have been breached; and provide sufficient detail of the alleged breach to enable the parties and the court to identify the essential issues alleged to arise. The Statement of Grounds should succinctly explain the </w:t>
      </w:r>
      <w:r w:rsidR="00801C4F"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laimant’s case by reference to the Statement of Facts and state precisely what relief is sought. The Statement of Facts and the Statement of Grounds may be contained in a single document.</w:t>
      </w:r>
    </w:p>
    <w:p w14:paraId="0DEE48B8" w14:textId="00FA48FF" w:rsidR="00B935ED" w:rsidRPr="00CA2C15" w:rsidRDefault="00B935ED" w:rsidP="000454F6">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Pr="00CA2C15">
        <w:rPr>
          <w:rFonts w:ascii="Calibri" w:eastAsia="Times New Roman" w:hAnsi="Calibri" w:cs="Calibri"/>
          <w:sz w:val="24"/>
          <w:szCs w:val="20"/>
          <w:lang w:val="en-GB"/>
        </w:rPr>
        <w:t>Statements</w:t>
      </w:r>
      <w:r w:rsidRPr="00CA2C15">
        <w:rPr>
          <w:rFonts w:ascii="Calibri" w:eastAsia="Arial" w:hAnsi="Calibri" w:cs="Calibri"/>
          <w:color w:val="000000"/>
          <w:sz w:val="24"/>
          <w:szCs w:val="24"/>
        </w:rPr>
        <w:t xml:space="preserve"> of Facts and Grounds should be as concise as possible. The two documents together (or the single document if the two are combined) </w:t>
      </w:r>
      <w:r w:rsidRPr="00CA2C15">
        <w:rPr>
          <w:rFonts w:ascii="Calibri" w:eastAsia="Arial" w:hAnsi="Calibri" w:cs="Calibri"/>
          <w:color w:val="000000"/>
          <w:sz w:val="24"/>
          <w:szCs w:val="24"/>
          <w:u w:val="single"/>
        </w:rPr>
        <w:t>shall not exceed 40 pages</w:t>
      </w:r>
      <w:r w:rsidRPr="00CA2C15">
        <w:rPr>
          <w:rFonts w:ascii="Calibri" w:eastAsia="Arial" w:hAnsi="Calibri" w:cs="Calibri"/>
          <w:color w:val="000000"/>
          <w:sz w:val="24"/>
          <w:szCs w:val="24"/>
        </w:rPr>
        <w:t>. In many cases the court will expect the documents to be significantly shorter than 40 pages. The court may grant permission to exceed the 40-page limit</w:t>
      </w:r>
      <w:r w:rsidR="004F08EC" w:rsidRPr="00CA2C15">
        <w:rPr>
          <w:rFonts w:ascii="Calibri" w:eastAsia="Arial" w:hAnsi="Calibri" w:cs="Calibri"/>
          <w:color w:val="000000"/>
          <w:sz w:val="24"/>
          <w:szCs w:val="24"/>
        </w:rPr>
        <w:t xml:space="preserve"> but permission should be sough</w:t>
      </w:r>
      <w:r w:rsidR="00DE426F" w:rsidRPr="00CA2C15">
        <w:rPr>
          <w:rFonts w:ascii="Calibri" w:eastAsia="Arial" w:hAnsi="Calibri" w:cs="Calibri"/>
          <w:color w:val="000000"/>
          <w:sz w:val="24"/>
          <w:szCs w:val="24"/>
        </w:rPr>
        <w:t xml:space="preserve"> before the document is filed or at the latest at the time it is filed</w:t>
      </w:r>
      <w:r w:rsidRPr="00CA2C15">
        <w:rPr>
          <w:rFonts w:ascii="Calibri" w:eastAsia="Arial" w:hAnsi="Calibri" w:cs="Calibri"/>
          <w:color w:val="000000"/>
          <w:sz w:val="24"/>
          <w:szCs w:val="24"/>
        </w:rPr>
        <w:t>.</w:t>
      </w:r>
    </w:p>
    <w:p w14:paraId="09686D93" w14:textId="2C4F7E47" w:rsidR="00B935ED" w:rsidRPr="00CA2C15" w:rsidRDefault="00B935ED" w:rsidP="000454F6">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003750FA" w:rsidRPr="00CA2C15">
        <w:rPr>
          <w:rFonts w:ascii="Calibri" w:eastAsia="Times New Roman" w:hAnsi="Calibri" w:cs="Calibri"/>
          <w:sz w:val="24"/>
          <w:szCs w:val="20"/>
          <w:lang w:val="en-GB"/>
        </w:rPr>
        <w:t>c</w:t>
      </w:r>
      <w:r w:rsidRPr="00CA2C15">
        <w:rPr>
          <w:rFonts w:ascii="Calibri" w:eastAsia="Times New Roman" w:hAnsi="Calibri" w:cs="Calibri"/>
          <w:sz w:val="24"/>
          <w:szCs w:val="20"/>
          <w:lang w:val="en-GB"/>
        </w:rPr>
        <w:t>laimant’s</w:t>
      </w:r>
      <w:r w:rsidRPr="00CA2C15">
        <w:rPr>
          <w:rFonts w:ascii="Calibri" w:eastAsia="Arial" w:hAnsi="Calibri" w:cs="Calibri"/>
          <w:color w:val="000000"/>
          <w:sz w:val="24"/>
          <w:szCs w:val="24"/>
        </w:rPr>
        <w:t xml:space="preserve"> solicitor’s preparation of the documents for counsel’s brief is likely to form the basis of the permission bundle, and will assist with easily discussing with counsel </w:t>
      </w:r>
      <w:r w:rsidR="003750FA" w:rsidRPr="00CA2C15">
        <w:rPr>
          <w:rFonts w:ascii="Calibri" w:eastAsia="Arial" w:hAnsi="Calibri" w:cs="Calibri"/>
          <w:color w:val="000000"/>
          <w:sz w:val="24"/>
          <w:szCs w:val="24"/>
        </w:rPr>
        <w:t>what should and should not be included</w:t>
      </w:r>
      <w:r w:rsidRPr="00CA2C15">
        <w:rPr>
          <w:rFonts w:ascii="Calibri" w:eastAsia="Arial" w:hAnsi="Calibri" w:cs="Calibri"/>
          <w:color w:val="000000"/>
          <w:sz w:val="24"/>
          <w:szCs w:val="24"/>
        </w:rPr>
        <w:t>. Front-loading of the preparation of the bundle is an important consideration as you are likely to be short on time</w:t>
      </w:r>
      <w:r w:rsidR="008F7042" w:rsidRPr="00CA2C15">
        <w:rPr>
          <w:rFonts w:ascii="Calibri" w:eastAsia="Arial" w:hAnsi="Calibri" w:cs="Calibri"/>
          <w:color w:val="000000"/>
          <w:sz w:val="24"/>
          <w:szCs w:val="24"/>
        </w:rPr>
        <w:t xml:space="preserve"> when issuing a claim, especially if </w:t>
      </w:r>
      <w:r w:rsidR="009F61DA" w:rsidRPr="00CA2C15">
        <w:rPr>
          <w:rFonts w:ascii="Calibri" w:eastAsia="Arial" w:hAnsi="Calibri" w:cs="Calibri"/>
          <w:color w:val="000000"/>
          <w:sz w:val="24"/>
          <w:szCs w:val="24"/>
        </w:rPr>
        <w:t>you are up against a limitation deadline</w:t>
      </w:r>
      <w:r w:rsidRPr="00CA2C15">
        <w:rPr>
          <w:rFonts w:ascii="Calibri" w:eastAsia="Arial" w:hAnsi="Calibri" w:cs="Calibri"/>
          <w:color w:val="000000"/>
          <w:sz w:val="24"/>
          <w:szCs w:val="24"/>
        </w:rPr>
        <w:t>.</w:t>
      </w:r>
    </w:p>
    <w:p w14:paraId="4002512D" w14:textId="765C00F8" w:rsidR="00B935ED" w:rsidRPr="00CA2C15" w:rsidRDefault="00B935ED" w:rsidP="005370CE">
      <w:pPr>
        <w:spacing w:after="240" w:line="360" w:lineRule="auto"/>
        <w:ind w:left="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Administrative Court has very specific requirements for the filing of </w:t>
      </w:r>
      <w:r w:rsidRPr="00CA2C15">
        <w:rPr>
          <w:rFonts w:ascii="Calibri" w:eastAsia="Times New Roman" w:hAnsi="Calibri" w:cs="Calibri"/>
          <w:sz w:val="24"/>
          <w:szCs w:val="20"/>
          <w:lang w:val="en-GB"/>
        </w:rPr>
        <w:t>electronic</w:t>
      </w:r>
      <w:r w:rsidRPr="00CA2C15">
        <w:rPr>
          <w:rFonts w:ascii="Calibri" w:eastAsia="Arial" w:hAnsi="Calibri" w:cs="Calibri"/>
          <w:color w:val="000000"/>
          <w:sz w:val="24"/>
          <w:szCs w:val="24"/>
        </w:rPr>
        <w:t xml:space="preserve"> bundles. This is set out in the </w:t>
      </w:r>
      <w:r w:rsidR="001D45A4" w:rsidRPr="00CA2C15">
        <w:rPr>
          <w:rFonts w:ascii="Calibri" w:eastAsia="Arial" w:hAnsi="Calibri" w:cs="Calibri"/>
          <w:color w:val="000000"/>
          <w:sz w:val="24"/>
          <w:szCs w:val="24"/>
        </w:rPr>
        <w:t xml:space="preserve">Administrative Court </w:t>
      </w:r>
      <w:r w:rsidR="007818B7" w:rsidRPr="00CA2C15">
        <w:rPr>
          <w:rFonts w:ascii="Calibri" w:eastAsia="Arial" w:hAnsi="Calibri" w:cs="Calibri"/>
          <w:color w:val="000000"/>
          <w:sz w:val="24"/>
          <w:szCs w:val="24"/>
        </w:rPr>
        <w:t xml:space="preserve">Judicial Review </w:t>
      </w:r>
      <w:r w:rsidR="001D45A4" w:rsidRPr="00CA2C15">
        <w:rPr>
          <w:rFonts w:ascii="Calibri" w:eastAsia="Arial" w:hAnsi="Calibri" w:cs="Calibri"/>
          <w:color w:val="000000"/>
          <w:sz w:val="24"/>
          <w:szCs w:val="24"/>
        </w:rPr>
        <w:t xml:space="preserve">Guide </w:t>
      </w:r>
      <w:r w:rsidR="00B378E9" w:rsidRPr="00CA2C15">
        <w:rPr>
          <w:rFonts w:ascii="Calibri" w:eastAsia="Arial" w:hAnsi="Calibri" w:cs="Calibri"/>
          <w:color w:val="000000"/>
          <w:sz w:val="24"/>
          <w:szCs w:val="24"/>
        </w:rPr>
        <w:t>at Annex 9</w:t>
      </w:r>
      <w:r w:rsidR="00166C51" w:rsidRPr="00CA2C15">
        <w:rPr>
          <w:rFonts w:ascii="Calibri" w:eastAsia="Arial" w:hAnsi="Calibri" w:cs="Calibri"/>
          <w:color w:val="000000"/>
          <w:sz w:val="24"/>
          <w:szCs w:val="24"/>
        </w:rPr>
        <w:t>.</w:t>
      </w:r>
      <w:r w:rsidR="00B378E9"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This document is essential reading since the guidance states a </w:t>
      </w:r>
      <w:r w:rsidR="0018171E" w:rsidRPr="00CA2C15">
        <w:rPr>
          <w:rFonts w:ascii="Calibri" w:eastAsia="Arial" w:hAnsi="Calibri" w:cs="Calibri"/>
          <w:color w:val="000000"/>
          <w:sz w:val="24"/>
          <w:szCs w:val="24"/>
        </w:rPr>
        <w:t xml:space="preserve">bundle that does not comply with this guidance may not be considered by a </w:t>
      </w:r>
      <w:r w:rsidRPr="00CA2C15">
        <w:rPr>
          <w:rFonts w:ascii="Calibri" w:eastAsia="Arial" w:hAnsi="Calibri" w:cs="Calibri"/>
          <w:color w:val="000000"/>
          <w:sz w:val="24"/>
          <w:szCs w:val="24"/>
        </w:rPr>
        <w:t>Judge</w:t>
      </w:r>
      <w:r w:rsidR="00166C51" w:rsidRPr="00CA2C15">
        <w:rPr>
          <w:rFonts w:ascii="Calibri" w:eastAsia="Arial" w:hAnsi="Calibri" w:cs="Calibri"/>
          <w:color w:val="000000"/>
          <w:sz w:val="24"/>
          <w:szCs w:val="24"/>
        </w:rPr>
        <w:t>.</w:t>
      </w:r>
    </w:p>
    <w:p w14:paraId="33F0F41B" w14:textId="3437EF0F" w:rsidR="00B935ED" w:rsidRPr="00CA2C15" w:rsidRDefault="00B935ED" w:rsidP="009D2E0D">
      <w:pPr>
        <w:numPr>
          <w:ilvl w:val="0"/>
          <w:numId w:val="4"/>
        </w:numPr>
        <w:tabs>
          <w:tab w:val="num" w:pos="1430"/>
        </w:tabs>
        <w:spacing w:after="240" w:line="360" w:lineRule="auto"/>
        <w:ind w:left="720" w:hanging="720"/>
        <w:jc w:val="both"/>
        <w:rPr>
          <w:rFonts w:ascii="Calibri" w:eastAsia="Arial" w:hAnsi="Calibri" w:cs="Calibri"/>
          <w:sz w:val="24"/>
          <w:szCs w:val="24"/>
        </w:rPr>
      </w:pPr>
      <w:r w:rsidRPr="00CA2C15">
        <w:rPr>
          <w:rFonts w:ascii="Calibri" w:eastAsia="Arial" w:hAnsi="Calibri" w:cs="Calibri"/>
          <w:sz w:val="24"/>
          <w:szCs w:val="24"/>
        </w:rPr>
        <w:t>The Upper Tribunal Immigration and Asylum Chamber has electronic bundle requirements that are similar which are set out in a Guidance Note from the President of UTIAC on CE-file and Electronic Bundles.</w:t>
      </w:r>
      <w:r w:rsidR="00207B44" w:rsidRPr="00CA2C15">
        <w:rPr>
          <w:rStyle w:val="FootnoteReference"/>
          <w:rFonts w:ascii="Calibri" w:eastAsia="Arial" w:hAnsi="Calibri" w:cs="Calibri"/>
          <w:sz w:val="24"/>
          <w:szCs w:val="24"/>
        </w:rPr>
        <w:footnoteReference w:id="9"/>
      </w:r>
      <w:r w:rsidRPr="00CA2C15">
        <w:rPr>
          <w:rFonts w:ascii="Calibri" w:eastAsia="Arial" w:hAnsi="Calibri" w:cs="Calibri"/>
          <w:sz w:val="24"/>
          <w:szCs w:val="24"/>
        </w:rPr>
        <w:t xml:space="preserve"> </w:t>
      </w:r>
      <w:r w:rsidR="00207B44" w:rsidRPr="00CA2C15">
        <w:rPr>
          <w:rFonts w:ascii="Calibri" w:eastAsia="Arial" w:hAnsi="Calibri" w:cs="Calibri"/>
          <w:sz w:val="24"/>
          <w:szCs w:val="24"/>
        </w:rPr>
        <w:t xml:space="preserve">For urgent claims (i.e. where you are also filing a </w:t>
      </w:r>
      <w:r w:rsidR="001D0225" w:rsidRPr="00CA2C15">
        <w:rPr>
          <w:rFonts w:ascii="Calibri" w:eastAsia="Arial" w:hAnsi="Calibri" w:cs="Calibri"/>
          <w:sz w:val="24"/>
          <w:szCs w:val="24"/>
        </w:rPr>
        <w:t>Form UTIAC4</w:t>
      </w:r>
      <w:r w:rsidR="00F41E0B" w:rsidRPr="00CA2C15">
        <w:rPr>
          <w:rFonts w:ascii="Calibri" w:eastAsia="Arial" w:hAnsi="Calibri" w:cs="Calibri"/>
          <w:sz w:val="24"/>
          <w:szCs w:val="24"/>
        </w:rPr>
        <w:t>)</w:t>
      </w:r>
      <w:r w:rsidR="001D0225" w:rsidRPr="00CA2C15">
        <w:rPr>
          <w:rFonts w:ascii="Calibri" w:eastAsia="Arial" w:hAnsi="Calibri" w:cs="Calibri"/>
          <w:sz w:val="24"/>
          <w:szCs w:val="24"/>
        </w:rPr>
        <w:t xml:space="preserve"> it is not essential to use CE-file, though it is described</w:t>
      </w:r>
      <w:r w:rsidR="00F41E0B" w:rsidRPr="00CA2C15">
        <w:rPr>
          <w:rFonts w:ascii="Calibri" w:eastAsia="Arial" w:hAnsi="Calibri" w:cs="Calibri"/>
          <w:sz w:val="24"/>
          <w:szCs w:val="24"/>
        </w:rPr>
        <w:t xml:space="preserve"> by the UTIAC</w:t>
      </w:r>
      <w:r w:rsidR="001D0225" w:rsidRPr="00CA2C15">
        <w:rPr>
          <w:rFonts w:ascii="Calibri" w:eastAsia="Arial" w:hAnsi="Calibri" w:cs="Calibri"/>
          <w:sz w:val="24"/>
          <w:szCs w:val="24"/>
        </w:rPr>
        <w:t xml:space="preserve"> as the preferred method. It is also possible to send or email the application to the Upper Tribunal’s regional office which is closest in connection to the applicant. Contact details for the hearing centres are listed at the end of the Form UTIAC4.</w:t>
      </w:r>
    </w:p>
    <w:p w14:paraId="3DD17199" w14:textId="77777777" w:rsidR="00B935ED" w:rsidRPr="00CA2C15" w:rsidRDefault="00B935ED" w:rsidP="009D2E0D">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claim form gives you the opportunity to make additional applications at the </w:t>
      </w:r>
      <w:r w:rsidRPr="00CA2C15">
        <w:rPr>
          <w:rFonts w:ascii="Calibri" w:eastAsia="Times New Roman" w:hAnsi="Calibri" w:cs="Calibri"/>
          <w:sz w:val="24"/>
          <w:szCs w:val="20"/>
          <w:lang w:val="en-GB"/>
        </w:rPr>
        <w:t>time</w:t>
      </w:r>
      <w:r w:rsidRPr="00CA2C15">
        <w:rPr>
          <w:rFonts w:ascii="Calibri" w:eastAsia="Arial" w:hAnsi="Calibri" w:cs="Calibri"/>
          <w:color w:val="000000"/>
          <w:sz w:val="24"/>
          <w:szCs w:val="24"/>
        </w:rPr>
        <w:t xml:space="preserve"> of issuing the claim without the need to pay an additional fee. Examples of applications that might be made include:</w:t>
      </w:r>
    </w:p>
    <w:p w14:paraId="26FFC07E" w14:textId="77777777" w:rsidR="00B935ED" w:rsidRPr="00CA2C15" w:rsidRDefault="00B935ED" w:rsidP="004423E8">
      <w:pPr>
        <w:pStyle w:val="ListParagraph"/>
        <w:numPr>
          <w:ilvl w:val="0"/>
          <w:numId w:val="45"/>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An extension of time;</w:t>
      </w:r>
    </w:p>
    <w:p w14:paraId="3C88674F" w14:textId="77777777" w:rsidR="00B935ED" w:rsidRPr="00CA2C15" w:rsidRDefault="00B935ED" w:rsidP="004423E8">
      <w:pPr>
        <w:pStyle w:val="ListParagraph"/>
        <w:numPr>
          <w:ilvl w:val="0"/>
          <w:numId w:val="45"/>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Disclosure of documents;</w:t>
      </w:r>
    </w:p>
    <w:p w14:paraId="57F00AC1" w14:textId="7F954A61" w:rsidR="00B935ED" w:rsidRPr="00CA2C15" w:rsidRDefault="00111538" w:rsidP="004423E8">
      <w:pPr>
        <w:pStyle w:val="ListParagraph"/>
        <w:numPr>
          <w:ilvl w:val="0"/>
          <w:numId w:val="45"/>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A grant of anonymity for the claimant</w:t>
      </w:r>
      <w:r w:rsidR="00525445" w:rsidRPr="00CA2C15">
        <w:rPr>
          <w:rFonts w:ascii="Calibri" w:eastAsia="Arial" w:hAnsi="Calibri" w:cs="Calibri"/>
          <w:color w:val="000000"/>
          <w:sz w:val="24"/>
          <w:szCs w:val="24"/>
        </w:rPr>
        <w:t>(s) and/or any  related person or party</w:t>
      </w:r>
      <w:r w:rsidR="00B935ED" w:rsidRPr="00CA2C15">
        <w:rPr>
          <w:rFonts w:ascii="Calibri" w:eastAsia="Arial" w:hAnsi="Calibri" w:cs="Calibri"/>
          <w:color w:val="000000"/>
          <w:sz w:val="24"/>
          <w:szCs w:val="24"/>
        </w:rPr>
        <w:t>.</w:t>
      </w:r>
    </w:p>
    <w:p w14:paraId="5FF2DDB5" w14:textId="60DAE3BF" w:rsidR="00B935ED" w:rsidRPr="00CA2C15" w:rsidRDefault="00B935ED" w:rsidP="00111538">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Applications in urgent cases are considered separately. It is important to note that if an </w:t>
      </w:r>
      <w:r w:rsidRPr="00CA2C15">
        <w:rPr>
          <w:rFonts w:ascii="Calibri" w:eastAsia="Times New Roman" w:hAnsi="Calibri" w:cs="Calibri"/>
          <w:sz w:val="24"/>
          <w:szCs w:val="20"/>
          <w:lang w:val="en-GB"/>
        </w:rPr>
        <w:t>application</w:t>
      </w:r>
      <w:r w:rsidRPr="00CA2C15">
        <w:rPr>
          <w:rFonts w:ascii="Calibri" w:eastAsia="Arial" w:hAnsi="Calibri" w:cs="Calibri"/>
          <w:color w:val="000000"/>
          <w:sz w:val="24"/>
          <w:szCs w:val="24"/>
        </w:rPr>
        <w:t xml:space="preserve"> urgently requires consideration by the court within 7 days, then form N463 must be completed (“Application for urgent consideration”).</w:t>
      </w:r>
      <w:r w:rsidR="00856871" w:rsidRPr="00CA2C15">
        <w:rPr>
          <w:rStyle w:val="FootnoteReference"/>
          <w:rFonts w:ascii="Calibri" w:eastAsia="Arial" w:hAnsi="Calibri" w:cs="Calibri"/>
          <w:color w:val="000000"/>
          <w:sz w:val="24"/>
          <w:szCs w:val="24"/>
        </w:rPr>
        <w:footnoteReference w:id="10"/>
      </w:r>
    </w:p>
    <w:p w14:paraId="033040CC" w14:textId="1D5366F3" w:rsidR="00B935ED" w:rsidRPr="00CA2C15" w:rsidRDefault="00B935ED" w:rsidP="00111538">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the application does not need to be considered within 7 days but needs to be </w:t>
      </w:r>
      <w:r w:rsidRPr="00CA2C15">
        <w:rPr>
          <w:rFonts w:ascii="Calibri" w:eastAsia="Times New Roman" w:hAnsi="Calibri" w:cs="Calibri"/>
          <w:sz w:val="24"/>
          <w:szCs w:val="20"/>
          <w:lang w:val="en-GB"/>
        </w:rPr>
        <w:t>considered</w:t>
      </w:r>
      <w:r w:rsidRPr="00CA2C15">
        <w:rPr>
          <w:rFonts w:ascii="Calibri" w:eastAsia="Arial" w:hAnsi="Calibri" w:cs="Calibri"/>
          <w:color w:val="000000"/>
          <w:sz w:val="24"/>
          <w:szCs w:val="24"/>
        </w:rPr>
        <w:t xml:space="preserve"> before permission is decided then this should be drawn to the court’s attention and explained in the </w:t>
      </w:r>
      <w:r w:rsidR="00525445" w:rsidRPr="00CA2C15">
        <w:rPr>
          <w:rFonts w:ascii="Calibri" w:eastAsia="Arial" w:hAnsi="Calibri" w:cs="Calibri"/>
          <w:color w:val="000000"/>
          <w:sz w:val="24"/>
          <w:szCs w:val="24"/>
        </w:rPr>
        <w:t xml:space="preserve">appropriate part </w:t>
      </w:r>
      <w:r w:rsidRPr="00CA2C15">
        <w:rPr>
          <w:rFonts w:ascii="Calibri" w:eastAsia="Arial" w:hAnsi="Calibri" w:cs="Calibri"/>
          <w:color w:val="000000"/>
          <w:sz w:val="24"/>
          <w:szCs w:val="24"/>
        </w:rPr>
        <w:t>of the claim form and also in any covering letter or email.</w:t>
      </w:r>
    </w:p>
    <w:p w14:paraId="6D3295FE" w14:textId="7374D355" w:rsidR="00B935ED" w:rsidRPr="00CA2C15" w:rsidRDefault="00FC3F58" w:rsidP="00111538">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00F66B20" w:rsidRPr="00CA2C15">
        <w:rPr>
          <w:rFonts w:ascii="Calibri" w:eastAsia="Arial" w:hAnsi="Calibri" w:cs="Calibri"/>
          <w:color w:val="000000"/>
          <w:sz w:val="24"/>
          <w:szCs w:val="24"/>
        </w:rPr>
        <w:t xml:space="preserve">statement that </w:t>
      </w:r>
      <w:r w:rsidR="00F66B20" w:rsidRPr="00CA2C15">
        <w:rPr>
          <w:rFonts w:ascii="Calibri" w:eastAsia="Times New Roman" w:hAnsi="Calibri" w:cs="Calibri"/>
          <w:sz w:val="24"/>
          <w:szCs w:val="20"/>
          <w:lang w:val="en-GB"/>
        </w:rPr>
        <w:t>accompanies</w:t>
      </w:r>
      <w:r w:rsidR="00F66B20" w:rsidRPr="00CA2C15">
        <w:rPr>
          <w:rFonts w:ascii="Calibri" w:eastAsia="Arial" w:hAnsi="Calibri" w:cs="Calibri"/>
          <w:color w:val="000000"/>
          <w:sz w:val="24"/>
          <w:szCs w:val="24"/>
        </w:rPr>
        <w:t xml:space="preserve"> the claim form</w:t>
      </w:r>
      <w:r w:rsidR="00F66B20" w:rsidRPr="00CA2C15" w:rsidDel="00FC3F58">
        <w:rPr>
          <w:rFonts w:ascii="Calibri" w:eastAsia="Arial" w:hAnsi="Calibri" w:cs="Calibri"/>
          <w:color w:val="000000"/>
          <w:sz w:val="24"/>
          <w:szCs w:val="24"/>
        </w:rPr>
        <w:t xml:space="preserve"> </w:t>
      </w:r>
      <w:r w:rsidR="00F66B20" w:rsidRPr="00CA2C15">
        <w:rPr>
          <w:rFonts w:ascii="Calibri" w:eastAsia="Arial" w:hAnsi="Calibri" w:cs="Calibri"/>
          <w:color w:val="000000"/>
          <w:sz w:val="24"/>
          <w:szCs w:val="24"/>
        </w:rPr>
        <w:t>should clearly d</w:t>
      </w:r>
      <w:r w:rsidR="00B935ED" w:rsidRPr="00CA2C15">
        <w:rPr>
          <w:rFonts w:ascii="Calibri" w:eastAsia="Arial" w:hAnsi="Calibri" w:cs="Calibri"/>
          <w:color w:val="000000"/>
          <w:sz w:val="24"/>
          <w:szCs w:val="24"/>
        </w:rPr>
        <w:t>eal with the need for any application</w:t>
      </w:r>
      <w:r w:rsidR="00F66B20" w:rsidRPr="00CA2C15">
        <w:rPr>
          <w:rFonts w:ascii="Calibri" w:eastAsia="Arial" w:hAnsi="Calibri" w:cs="Calibri"/>
          <w:color w:val="000000"/>
          <w:sz w:val="24"/>
          <w:szCs w:val="24"/>
        </w:rPr>
        <w:t>s</w:t>
      </w:r>
      <w:r w:rsidR="00B935ED" w:rsidRPr="00CA2C15">
        <w:rPr>
          <w:rFonts w:ascii="Calibri" w:eastAsia="Arial" w:hAnsi="Calibri" w:cs="Calibri"/>
          <w:color w:val="000000"/>
          <w:sz w:val="24"/>
          <w:szCs w:val="24"/>
        </w:rPr>
        <w:t>.</w:t>
      </w:r>
    </w:p>
    <w:p w14:paraId="73CC9296" w14:textId="4C1A11FD" w:rsidR="00A535B2"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b/>
          <w:bCs/>
          <w:color w:val="000000"/>
          <w:sz w:val="24"/>
          <w:szCs w:val="24"/>
          <w:u w:val="single"/>
        </w:rPr>
      </w:pPr>
      <w:r w:rsidRPr="00CA2C15">
        <w:rPr>
          <w:rFonts w:ascii="Calibri" w:eastAsia="Arial" w:hAnsi="Calibri" w:cs="Calibri"/>
          <w:b/>
          <w:bCs/>
          <w:color w:val="000000"/>
          <w:sz w:val="24"/>
          <w:szCs w:val="24"/>
          <w:u w:val="single"/>
        </w:rPr>
        <w:t xml:space="preserve">STEPS IN PROCEEDINGS </w:t>
      </w:r>
    </w:p>
    <w:p w14:paraId="4E45DAB4" w14:textId="1F30F552"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z w:val="24"/>
          <w:szCs w:val="24"/>
        </w:rPr>
        <w:t>Issuing Proceedings</w:t>
      </w:r>
    </w:p>
    <w:p w14:paraId="379BE716" w14:textId="17453A89" w:rsidR="00721492" w:rsidRPr="00CA2C15" w:rsidRDefault="00186940" w:rsidP="00853003">
      <w:pPr>
        <w:numPr>
          <w:ilvl w:val="0"/>
          <w:numId w:val="4"/>
        </w:numPr>
        <w:tabs>
          <w:tab w:val="num" w:pos="1430"/>
        </w:tabs>
        <w:spacing w:before="240"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Since the implementation of regionalisation of the Administrative Court in 2009, you </w:t>
      </w:r>
      <w:r w:rsidR="00721492" w:rsidRPr="00CA2C15">
        <w:rPr>
          <w:rFonts w:ascii="Calibri" w:eastAsia="Arial" w:hAnsi="Calibri" w:cs="Calibri"/>
          <w:color w:val="000000"/>
          <w:sz w:val="24"/>
          <w:szCs w:val="24"/>
        </w:rPr>
        <w:t xml:space="preserve">will </w:t>
      </w:r>
      <w:r w:rsidRPr="00CA2C15">
        <w:rPr>
          <w:rFonts w:ascii="Calibri" w:eastAsia="Arial" w:hAnsi="Calibri" w:cs="Calibri"/>
          <w:color w:val="000000"/>
          <w:sz w:val="24"/>
          <w:szCs w:val="24"/>
        </w:rPr>
        <w:t xml:space="preserve">need to consider </w:t>
      </w:r>
      <w:r w:rsidR="0032157B" w:rsidRPr="00CA2C15">
        <w:rPr>
          <w:rFonts w:ascii="Calibri" w:eastAsia="Arial" w:hAnsi="Calibri" w:cs="Calibri"/>
          <w:color w:val="000000"/>
          <w:sz w:val="24"/>
          <w:szCs w:val="24"/>
        </w:rPr>
        <w:t xml:space="preserve">the correct </w:t>
      </w:r>
      <w:r w:rsidRPr="00CA2C15">
        <w:rPr>
          <w:rFonts w:ascii="Calibri" w:eastAsia="Arial" w:hAnsi="Calibri" w:cs="Calibri"/>
          <w:color w:val="000000"/>
          <w:sz w:val="24"/>
          <w:szCs w:val="24"/>
        </w:rPr>
        <w:t xml:space="preserve">venue for </w:t>
      </w:r>
      <w:r w:rsidR="00721492" w:rsidRPr="00CA2C15">
        <w:rPr>
          <w:rFonts w:ascii="Calibri" w:eastAsia="Arial" w:hAnsi="Calibri" w:cs="Calibri"/>
          <w:color w:val="000000"/>
          <w:sz w:val="24"/>
          <w:szCs w:val="24"/>
        </w:rPr>
        <w:t>issuing proceedings</w:t>
      </w:r>
      <w:r w:rsidRPr="00CA2C15">
        <w:rPr>
          <w:rFonts w:ascii="Calibri" w:eastAsia="Arial" w:hAnsi="Calibri" w:cs="Calibri"/>
          <w:color w:val="000000"/>
          <w:sz w:val="24"/>
          <w:szCs w:val="24"/>
        </w:rPr>
        <w:t>. CPR Practice Direction 54C set</w:t>
      </w:r>
      <w:r w:rsidR="00052CB9" w:rsidRPr="00CA2C15">
        <w:rPr>
          <w:rFonts w:ascii="Calibri" w:eastAsia="Arial" w:hAnsi="Calibri" w:cs="Calibri"/>
          <w:color w:val="000000"/>
          <w:sz w:val="24"/>
          <w:szCs w:val="24"/>
        </w:rPr>
        <w:t>s</w:t>
      </w:r>
      <w:r w:rsidRPr="00CA2C15">
        <w:rPr>
          <w:rFonts w:ascii="Calibri" w:eastAsia="Arial" w:hAnsi="Calibri" w:cs="Calibri"/>
          <w:color w:val="000000"/>
          <w:sz w:val="24"/>
          <w:szCs w:val="24"/>
        </w:rPr>
        <w:t xml:space="preserve"> out the general principle that proceedings will be dealt with in the region with which the claim has the closest connection</w:t>
      </w:r>
      <w:r w:rsidR="00130814" w:rsidRPr="00CA2C15">
        <w:rPr>
          <w:rStyle w:val="FootnoteReference"/>
          <w:rFonts w:ascii="Calibri" w:eastAsia="Arial" w:hAnsi="Calibri" w:cs="Calibri"/>
          <w:color w:val="000000"/>
          <w:sz w:val="24"/>
          <w:szCs w:val="24"/>
        </w:rPr>
        <w:footnoteReference w:id="11"/>
      </w:r>
      <w:r w:rsidRPr="00CA2C15">
        <w:rPr>
          <w:rFonts w:ascii="Calibri" w:eastAsia="Arial" w:hAnsi="Calibri" w:cs="Calibri"/>
          <w:color w:val="000000"/>
          <w:sz w:val="24"/>
          <w:szCs w:val="24"/>
        </w:rPr>
        <w:t xml:space="preserve">, determined by the subject matter of the claim, the region in which the </w:t>
      </w:r>
      <w:r w:rsidR="0032157B"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resides and the region in which the </w:t>
      </w:r>
      <w:r w:rsidR="0032157B"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or any relevant office or department of the </w:t>
      </w:r>
      <w:r w:rsidR="0032157B"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is based</w:t>
      </w:r>
      <w:r w:rsidR="00721492" w:rsidRPr="00CA2C15">
        <w:rPr>
          <w:rFonts w:ascii="Calibri" w:eastAsia="Arial" w:hAnsi="Calibri" w:cs="Calibri"/>
          <w:color w:val="000000"/>
          <w:sz w:val="24"/>
          <w:szCs w:val="24"/>
        </w:rPr>
        <w:t>, u</w:t>
      </w:r>
      <w:r w:rsidRPr="00CA2C15">
        <w:rPr>
          <w:rFonts w:ascii="Calibri" w:eastAsia="Arial" w:hAnsi="Calibri" w:cs="Calibri"/>
          <w:color w:val="000000"/>
          <w:sz w:val="24"/>
          <w:szCs w:val="24"/>
        </w:rPr>
        <w:t>nless the claim is one of the excepted types of claim (e.g. claims about control orders, terrorism and the disciplining of solicitors) in which case it must be issued in London</w:t>
      </w:r>
      <w:r w:rsidR="00721492" w:rsidRPr="00CA2C15">
        <w:rPr>
          <w:rFonts w:ascii="Calibri" w:eastAsia="Arial" w:hAnsi="Calibri" w:cs="Calibri"/>
          <w:color w:val="000000"/>
          <w:sz w:val="24"/>
          <w:szCs w:val="24"/>
        </w:rPr>
        <w:t>.</w:t>
      </w:r>
    </w:p>
    <w:p w14:paraId="2AF08AC1" w14:textId="5FF5428B" w:rsidR="001D585C" w:rsidRPr="00CA2C15" w:rsidRDefault="00721492" w:rsidP="00525445">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regional </w:t>
      </w:r>
      <w:r w:rsidR="00EB3822" w:rsidRPr="00CA2C15">
        <w:rPr>
          <w:rFonts w:ascii="Calibri" w:eastAsia="Arial" w:hAnsi="Calibri" w:cs="Calibri"/>
          <w:color w:val="000000"/>
          <w:sz w:val="24"/>
          <w:szCs w:val="24"/>
        </w:rPr>
        <w:t>Administrative Court Offices of the High Court</w:t>
      </w:r>
      <w:r w:rsidR="00052CB9" w:rsidRPr="00CA2C15">
        <w:rPr>
          <w:rFonts w:ascii="Calibri" w:eastAsia="Arial" w:hAnsi="Calibri" w:cs="Calibri"/>
          <w:color w:val="000000"/>
          <w:sz w:val="24"/>
          <w:szCs w:val="24"/>
        </w:rPr>
        <w:t xml:space="preserve"> </w:t>
      </w:r>
      <w:r w:rsidR="00F45592" w:rsidRPr="00CA2C15">
        <w:rPr>
          <w:rFonts w:ascii="Calibri" w:eastAsia="Arial" w:hAnsi="Calibri" w:cs="Calibri"/>
          <w:color w:val="000000"/>
          <w:sz w:val="24"/>
          <w:szCs w:val="24"/>
        </w:rPr>
        <w:t xml:space="preserve">locations are as </w:t>
      </w:r>
      <w:r w:rsidR="00EB3822" w:rsidRPr="00CA2C15">
        <w:rPr>
          <w:rFonts w:ascii="Calibri" w:eastAsia="Arial" w:hAnsi="Calibri" w:cs="Calibri"/>
          <w:color w:val="000000"/>
          <w:sz w:val="24"/>
          <w:szCs w:val="24"/>
        </w:rPr>
        <w:t xml:space="preserve"> follow</w:t>
      </w:r>
      <w:r w:rsidR="00F45592" w:rsidRPr="00CA2C15">
        <w:rPr>
          <w:rFonts w:ascii="Calibri" w:eastAsia="Arial" w:hAnsi="Calibri" w:cs="Calibri"/>
          <w:color w:val="000000"/>
          <w:sz w:val="24"/>
          <w:szCs w:val="24"/>
        </w:rPr>
        <w:t>s</w:t>
      </w:r>
      <w:r w:rsidR="008122CD" w:rsidRPr="00CA2C15">
        <w:rPr>
          <w:rFonts w:ascii="Calibri" w:eastAsia="Arial" w:hAnsi="Calibri" w:cs="Calibri"/>
          <w:color w:val="000000"/>
          <w:sz w:val="24"/>
          <w:szCs w:val="24"/>
        </w:rPr>
        <w:t>:</w:t>
      </w:r>
    </w:p>
    <w:p w14:paraId="39AFAE52" w14:textId="76C48781" w:rsidR="001D585C" w:rsidRPr="00CA2C15" w:rsidRDefault="00052CB9" w:rsidP="001D585C">
      <w:pPr>
        <w:numPr>
          <w:ilvl w:val="1"/>
          <w:numId w:val="4"/>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00B935ED" w:rsidRPr="00CA2C15">
        <w:rPr>
          <w:rFonts w:ascii="Calibri" w:eastAsia="Arial" w:hAnsi="Calibri" w:cs="Calibri"/>
          <w:color w:val="000000"/>
          <w:sz w:val="24"/>
          <w:szCs w:val="24"/>
        </w:rPr>
        <w:t xml:space="preserve">Royal Courts of Justice </w:t>
      </w:r>
      <w:r w:rsidR="00CC5B04" w:rsidRPr="00CA2C15">
        <w:rPr>
          <w:rFonts w:ascii="Calibri" w:eastAsia="Arial" w:hAnsi="Calibri" w:cs="Calibri"/>
          <w:color w:val="000000"/>
          <w:sz w:val="24"/>
          <w:szCs w:val="24"/>
        </w:rPr>
        <w:t xml:space="preserve">(RCJ) </w:t>
      </w:r>
      <w:r w:rsidR="00B935ED" w:rsidRPr="00CA2C15">
        <w:rPr>
          <w:rFonts w:ascii="Calibri" w:eastAsia="Arial" w:hAnsi="Calibri" w:cs="Calibri"/>
          <w:color w:val="000000"/>
          <w:sz w:val="24"/>
          <w:szCs w:val="24"/>
        </w:rPr>
        <w:t>in London</w:t>
      </w:r>
    </w:p>
    <w:p w14:paraId="4C8D717D" w14:textId="65F9BB61" w:rsidR="001D585C" w:rsidRPr="00CA2C15" w:rsidRDefault="00B935ED" w:rsidP="001D585C">
      <w:pPr>
        <w:numPr>
          <w:ilvl w:val="1"/>
          <w:numId w:val="4"/>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Birmingham Civil and Family Justice Hearing Centre</w:t>
      </w:r>
    </w:p>
    <w:p w14:paraId="4A5965BF" w14:textId="55E35317" w:rsidR="001D585C" w:rsidRPr="00CA2C15" w:rsidRDefault="00B935ED" w:rsidP="00DB49B0">
      <w:pPr>
        <w:numPr>
          <w:ilvl w:val="1"/>
          <w:numId w:val="4"/>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Cardiff Civil Justice Centre</w:t>
      </w:r>
      <w:r w:rsidR="007D0C5E" w:rsidRPr="00CA2C15">
        <w:rPr>
          <w:rFonts w:ascii="Calibri" w:eastAsia="Arial" w:hAnsi="Calibri" w:cs="Calibri"/>
          <w:color w:val="000000"/>
          <w:sz w:val="24"/>
          <w:szCs w:val="24"/>
        </w:rPr>
        <w:t xml:space="preserve"> (where </w:t>
      </w:r>
      <w:r w:rsidR="00DB49B0" w:rsidRPr="00CA2C15">
        <w:rPr>
          <w:rFonts w:ascii="Calibri" w:eastAsia="Arial" w:hAnsi="Calibri" w:cs="Calibri"/>
          <w:color w:val="000000"/>
          <w:sz w:val="24"/>
          <w:szCs w:val="24"/>
        </w:rPr>
        <w:t>a claim seeks to challenge the lawfulness of a Welsh public body’s decision, it must be issued in the Cardiff ACO and all hearings will take place in Wales</w:t>
      </w:r>
      <w:r w:rsidR="00993393" w:rsidRPr="00CA2C15">
        <w:rPr>
          <w:rStyle w:val="FootnoteReference"/>
          <w:rFonts w:ascii="Calibri" w:eastAsia="Arial" w:hAnsi="Calibri" w:cs="Calibri"/>
          <w:color w:val="000000"/>
          <w:sz w:val="24"/>
          <w:szCs w:val="24"/>
        </w:rPr>
        <w:footnoteReference w:id="12"/>
      </w:r>
      <w:r w:rsidR="00993393" w:rsidRPr="00CA2C15">
        <w:rPr>
          <w:rFonts w:ascii="Calibri" w:eastAsia="Arial" w:hAnsi="Calibri" w:cs="Calibri"/>
          <w:color w:val="000000"/>
          <w:sz w:val="24"/>
          <w:szCs w:val="24"/>
        </w:rPr>
        <w:t>.</w:t>
      </w:r>
    </w:p>
    <w:p w14:paraId="107C861D" w14:textId="629E0542" w:rsidR="001D585C" w:rsidRPr="00CA2C15" w:rsidRDefault="00B935ED" w:rsidP="001D585C">
      <w:pPr>
        <w:numPr>
          <w:ilvl w:val="1"/>
          <w:numId w:val="4"/>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Leeds Combined Court Centre, or</w:t>
      </w:r>
    </w:p>
    <w:p w14:paraId="5B6DEBA0" w14:textId="1781BBC4" w:rsidR="00D177EF" w:rsidRPr="00CA2C15" w:rsidRDefault="00B935ED" w:rsidP="00D177EF">
      <w:pPr>
        <w:numPr>
          <w:ilvl w:val="1"/>
          <w:numId w:val="4"/>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Manchester Civil and Family Justice Centre</w:t>
      </w:r>
    </w:p>
    <w:p w14:paraId="1604B6BD" w14:textId="6A1A2A9F" w:rsidR="00785F5B" w:rsidRPr="00CA2C15" w:rsidRDefault="00B935ED" w:rsidP="00853003">
      <w:pPr>
        <w:pStyle w:val="ListParagraph"/>
        <w:numPr>
          <w:ilvl w:val="0"/>
          <w:numId w:val="4"/>
        </w:numPr>
        <w:spacing w:before="240" w:after="240" w:line="360" w:lineRule="auto"/>
        <w:ind w:left="709" w:hanging="709"/>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Alternatively the claimant should outline why the claim has been lodged in a different region (which might include that it is the region in which the claimant’s legal representatives are based).</w:t>
      </w:r>
      <w:r w:rsidR="00856871" w:rsidRPr="00CA2C15">
        <w:rPr>
          <w:rStyle w:val="FootnoteReference"/>
          <w:rFonts w:ascii="Calibri" w:eastAsia="Arial" w:hAnsi="Calibri" w:cs="Calibri"/>
          <w:color w:val="000000"/>
          <w:sz w:val="24"/>
          <w:szCs w:val="24"/>
        </w:rPr>
        <w:footnoteReference w:id="13"/>
      </w:r>
      <w:r w:rsidRPr="00CA2C15">
        <w:rPr>
          <w:rFonts w:ascii="Calibri" w:eastAsia="Arial" w:hAnsi="Calibri" w:cs="Calibri"/>
          <w:color w:val="000000"/>
          <w:sz w:val="24"/>
          <w:szCs w:val="24"/>
        </w:rPr>
        <w:t xml:space="preserve"> </w:t>
      </w:r>
    </w:p>
    <w:p w14:paraId="5AC6D910" w14:textId="06147F63" w:rsidR="00A8129B" w:rsidRPr="00CA2C15" w:rsidRDefault="00B935ED" w:rsidP="00853003">
      <w:pPr>
        <w:pStyle w:val="ListParagraph"/>
        <w:numPr>
          <w:ilvl w:val="0"/>
          <w:numId w:val="4"/>
        </w:numPr>
        <w:spacing w:before="240" w:after="240" w:line="360" w:lineRule="auto"/>
        <w:ind w:left="709" w:hanging="709"/>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Most immigration </w:t>
      </w:r>
      <w:r w:rsidR="00785F5B" w:rsidRPr="00CA2C15">
        <w:rPr>
          <w:rFonts w:ascii="Calibri" w:eastAsia="Arial" w:hAnsi="Calibri" w:cs="Calibri"/>
          <w:color w:val="000000"/>
          <w:sz w:val="24"/>
          <w:szCs w:val="24"/>
        </w:rPr>
        <w:t xml:space="preserve">judicial reviews </w:t>
      </w:r>
      <w:r w:rsidRPr="00CA2C15">
        <w:rPr>
          <w:rFonts w:ascii="Calibri" w:eastAsia="Arial" w:hAnsi="Calibri" w:cs="Calibri"/>
          <w:color w:val="000000"/>
          <w:sz w:val="24"/>
          <w:szCs w:val="24"/>
        </w:rPr>
        <w:t xml:space="preserve">have been transferred to the </w:t>
      </w:r>
      <w:r w:rsidR="00785F5B" w:rsidRPr="00CA2C15">
        <w:rPr>
          <w:rFonts w:ascii="Calibri" w:eastAsia="Arial" w:hAnsi="Calibri" w:cs="Calibri"/>
          <w:color w:val="000000"/>
          <w:sz w:val="24"/>
          <w:szCs w:val="24"/>
        </w:rPr>
        <w:t xml:space="preserve">jurisdiction of the </w:t>
      </w:r>
      <w:r w:rsidRPr="00CA2C15">
        <w:rPr>
          <w:rFonts w:ascii="Calibri" w:eastAsia="Arial" w:hAnsi="Calibri" w:cs="Calibri"/>
          <w:color w:val="000000"/>
          <w:sz w:val="24"/>
          <w:szCs w:val="24"/>
        </w:rPr>
        <w:t>Upper Tribunal (Immigration and Asylum Chamber) and must be issued in the Upper Tribunal. See the Lord Chief Justice’s direction (amended on 17 October 2014) for the types of claims which have been transferred:</w:t>
      </w:r>
    </w:p>
    <w:p w14:paraId="79921DBE" w14:textId="77777777" w:rsidR="00A8129B" w:rsidRPr="00CA2C15" w:rsidRDefault="00A8129B" w:rsidP="00853003">
      <w:pPr>
        <w:spacing w:before="240" w:after="240" w:line="360" w:lineRule="auto"/>
        <w:ind w:left="720"/>
        <w:jc w:val="both"/>
        <w:rPr>
          <w:rFonts w:ascii="Calibri" w:eastAsia="Arial" w:hAnsi="Calibri" w:cs="Calibri"/>
          <w:color w:val="000000"/>
          <w:sz w:val="24"/>
          <w:szCs w:val="24"/>
        </w:rPr>
      </w:pPr>
      <w:hyperlink r:id="rId14" w:history="1">
        <w:r w:rsidRPr="00CA2C15">
          <w:rPr>
            <w:rStyle w:val="Hyperlink"/>
            <w:rFonts w:ascii="Calibri" w:hAnsi="Calibri" w:cs="Calibri"/>
            <w:sz w:val="24"/>
            <w:szCs w:val="24"/>
          </w:rPr>
          <w:t>https://www.judiciary.uk/guidance-and-resources/lord-chief-justices-direction-regarding-the-transfer-of-immigration-and-asylum-judicial-review-cases-to-the-upper-tribunal-immigration-and-asylum-chamber/</w:t>
        </w:r>
      </w:hyperlink>
      <w:r w:rsidR="00CF744E" w:rsidRPr="00CA2C15">
        <w:rPr>
          <w:rFonts w:ascii="Calibri" w:hAnsi="Calibri" w:cs="Calibri"/>
          <w:sz w:val="24"/>
          <w:szCs w:val="24"/>
        </w:rPr>
        <w:t xml:space="preserve"> </w:t>
      </w:r>
    </w:p>
    <w:p w14:paraId="4976F868" w14:textId="77777777" w:rsidR="00EA1846" w:rsidRPr="00CA2C15" w:rsidRDefault="00B935ED" w:rsidP="00853003">
      <w:pPr>
        <w:spacing w:before="240" w:after="240" w:line="360" w:lineRule="auto"/>
        <w:ind w:left="720"/>
        <w:jc w:val="both"/>
        <w:rPr>
          <w:rFonts w:ascii="Calibri" w:eastAsia="Arial" w:hAnsi="Calibri" w:cs="Calibri"/>
          <w:color w:val="000000"/>
          <w:sz w:val="24"/>
          <w:szCs w:val="24"/>
        </w:rPr>
      </w:pPr>
      <w:r w:rsidRPr="00CA2C15">
        <w:rPr>
          <w:rFonts w:ascii="Calibri" w:eastAsia="Arial" w:hAnsi="Calibri" w:cs="Calibri"/>
          <w:color w:val="000000"/>
          <w:sz w:val="24"/>
          <w:szCs w:val="24"/>
        </w:rPr>
        <w:t>The forms to be used are also different; please refer to:</w:t>
      </w:r>
    </w:p>
    <w:p w14:paraId="5F14258C" w14:textId="1D6CD568" w:rsidR="00A8129B" w:rsidRPr="00CA2C15" w:rsidRDefault="00EA1846" w:rsidP="00853003">
      <w:pPr>
        <w:spacing w:before="240" w:after="240" w:line="360" w:lineRule="auto"/>
        <w:ind w:left="720"/>
        <w:jc w:val="both"/>
        <w:rPr>
          <w:rFonts w:ascii="Calibri" w:eastAsia="Arial" w:hAnsi="Calibri" w:cs="Calibri"/>
          <w:color w:val="000000"/>
          <w:sz w:val="24"/>
          <w:szCs w:val="24"/>
        </w:rPr>
      </w:pPr>
      <w:hyperlink r:id="rId15" w:anchor="list-of-all-utiac-forms" w:history="1">
        <w:r w:rsidRPr="00CA2C15">
          <w:rPr>
            <w:rStyle w:val="Hyperlink"/>
            <w:rFonts w:ascii="Calibri" w:hAnsi="Calibri" w:cs="Calibri"/>
            <w:sz w:val="24"/>
            <w:szCs w:val="24"/>
          </w:rPr>
          <w:t>https://www.gov.uk/guidance/apply-for-a-judicial-review-in-an-immigration-or-asylum-case#list-of-all-utiac-forms</w:t>
        </w:r>
      </w:hyperlink>
      <w:r w:rsidR="00CF744E" w:rsidRPr="00CA2C15">
        <w:rPr>
          <w:rFonts w:ascii="Calibri" w:hAnsi="Calibri" w:cs="Calibri"/>
          <w:sz w:val="24"/>
          <w:szCs w:val="24"/>
        </w:rPr>
        <w:t xml:space="preserve"> </w:t>
      </w:r>
    </w:p>
    <w:p w14:paraId="56041BB0" w14:textId="119204E5" w:rsidR="00B068D7" w:rsidRPr="00CA2C15" w:rsidRDefault="00B935ED" w:rsidP="00853003">
      <w:pPr>
        <w:pStyle w:val="ListParagraph"/>
        <w:numPr>
          <w:ilvl w:val="0"/>
          <w:numId w:val="4"/>
        </w:numPr>
        <w:spacing w:before="240" w:after="240" w:line="360" w:lineRule="auto"/>
        <w:ind w:left="709" w:hanging="709"/>
        <w:contextualSpacing w:val="0"/>
        <w:jc w:val="both"/>
        <w:rPr>
          <w:rFonts w:ascii="Calibri" w:eastAsia="Arial" w:hAnsi="Calibri" w:cs="Calibri"/>
          <w:color w:val="000000" w:themeColor="text1"/>
          <w:sz w:val="24"/>
          <w:szCs w:val="24"/>
        </w:rPr>
      </w:pPr>
      <w:r w:rsidRPr="00CA2C15">
        <w:rPr>
          <w:rFonts w:ascii="Calibri" w:eastAsia="Arial" w:hAnsi="Calibri" w:cs="Calibri"/>
          <w:color w:val="000000"/>
          <w:spacing w:val="-1"/>
          <w:sz w:val="24"/>
          <w:szCs w:val="24"/>
        </w:rPr>
        <w:t>You need to lodge an electronic copy of the claim form and permission bundle, in accordance with the Administrative Court’s “Information to Court Users” guidance.</w:t>
      </w:r>
      <w:r w:rsidR="00CC0AD6" w:rsidRPr="00CA2C15">
        <w:rPr>
          <w:rStyle w:val="FootnoteReference"/>
          <w:rFonts w:ascii="Calibri" w:eastAsia="Arial" w:hAnsi="Calibri" w:cs="Calibri"/>
          <w:color w:val="000000"/>
          <w:spacing w:val="-1"/>
          <w:sz w:val="24"/>
          <w:szCs w:val="24"/>
        </w:rPr>
        <w:footnoteReference w:id="14"/>
      </w:r>
      <w:r w:rsidRPr="00CA2C15">
        <w:rPr>
          <w:rFonts w:ascii="Calibri" w:eastAsia="Arial" w:hAnsi="Calibri" w:cs="Calibri"/>
          <w:color w:val="000000"/>
          <w:spacing w:val="-1"/>
          <w:sz w:val="24"/>
          <w:szCs w:val="24"/>
        </w:rPr>
        <w:t xml:space="preserve"> The court will seal (and return to you) a claim form for you to serve on the </w:t>
      </w:r>
      <w:r w:rsidR="001B209F" w:rsidRPr="00CA2C15">
        <w:rPr>
          <w:rFonts w:ascii="Calibri" w:eastAsia="Arial" w:hAnsi="Calibri" w:cs="Calibri"/>
          <w:color w:val="000000"/>
          <w:spacing w:val="-1"/>
          <w:sz w:val="24"/>
          <w:szCs w:val="24"/>
        </w:rPr>
        <w:t>d</w:t>
      </w:r>
      <w:r w:rsidRPr="00CA2C15">
        <w:rPr>
          <w:rFonts w:ascii="Calibri" w:eastAsia="Arial" w:hAnsi="Calibri" w:cs="Calibri"/>
          <w:color w:val="000000"/>
          <w:spacing w:val="-1"/>
          <w:sz w:val="24"/>
          <w:szCs w:val="24"/>
        </w:rPr>
        <w:t>efendant(s) and any</w:t>
      </w:r>
      <w:r w:rsidR="00FF5F2A" w:rsidRPr="00CA2C15">
        <w:rPr>
          <w:rFonts w:ascii="Calibri" w:eastAsia="Arial" w:hAnsi="Calibri" w:cs="Calibri"/>
          <w:color w:val="000000"/>
          <w:spacing w:val="-1"/>
          <w:sz w:val="24"/>
          <w:szCs w:val="24"/>
        </w:rPr>
        <w:t xml:space="preserve"> interested parties.</w:t>
      </w:r>
    </w:p>
    <w:p w14:paraId="4BEEF4C9" w14:textId="77777777" w:rsidR="00094D40" w:rsidRPr="00CA2C15" w:rsidRDefault="00074F4B" w:rsidP="00853003">
      <w:pPr>
        <w:pStyle w:val="ListParagraph"/>
        <w:numPr>
          <w:ilvl w:val="0"/>
          <w:numId w:val="4"/>
        </w:numPr>
        <w:spacing w:before="240" w:after="240" w:line="360" w:lineRule="auto"/>
        <w:ind w:left="709" w:hanging="709"/>
        <w:contextualSpacing w:val="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If the claim is urgent then it must be sent by email to </w:t>
      </w:r>
      <w:hyperlink r:id="rId16" w:history="1">
        <w:r w:rsidR="00D51B70" w:rsidRPr="00CA2C15">
          <w:rPr>
            <w:rStyle w:val="Hyperlink"/>
            <w:rFonts w:ascii="Calibri" w:hAnsi="Calibri" w:cs="Calibri"/>
            <w:sz w:val="24"/>
            <w:szCs w:val="24"/>
          </w:rPr>
          <w:t>immediates@administrativecourtoffice.justice.gov.uk</w:t>
        </w:r>
      </w:hyperlink>
      <w:hyperlink r:id="rId17">
        <w:r w:rsidR="00B935ED" w:rsidRPr="00CA2C15">
          <w:rPr>
            <w:rStyle w:val="Hyperlink"/>
            <w:rFonts w:ascii="Calibri" w:hAnsi="Calibri" w:cs="Calibri"/>
            <w:sz w:val="24"/>
            <w:szCs w:val="24"/>
          </w:rPr>
          <w:t xml:space="preserve"> </w:t>
        </w:r>
      </w:hyperlink>
      <w:r w:rsidR="00B935ED" w:rsidRPr="00CA2C15">
        <w:rPr>
          <w:rFonts w:ascii="Calibri" w:eastAsia="Arial" w:hAnsi="Calibri" w:cs="Calibri"/>
          <w:color w:val="000000"/>
          <w:spacing w:val="-1"/>
          <w:sz w:val="24"/>
          <w:szCs w:val="24"/>
        </w:rPr>
        <w:t xml:space="preserve">accompanied with either a PBA number (if your </w:t>
      </w:r>
      <w:r w:rsidR="00CF744E" w:rsidRPr="00CA2C15">
        <w:rPr>
          <w:rFonts w:ascii="Calibri" w:eastAsia="Arial" w:hAnsi="Calibri" w:cs="Calibri"/>
          <w:color w:val="000000"/>
          <w:spacing w:val="-1"/>
          <w:sz w:val="24"/>
          <w:szCs w:val="24"/>
        </w:rPr>
        <w:t xml:space="preserve">organisation </w:t>
      </w:r>
      <w:r w:rsidR="00B935ED" w:rsidRPr="00CA2C15">
        <w:rPr>
          <w:rFonts w:ascii="Calibri" w:eastAsia="Arial" w:hAnsi="Calibri" w:cs="Calibri"/>
          <w:color w:val="000000"/>
          <w:spacing w:val="-1"/>
          <w:sz w:val="24"/>
          <w:szCs w:val="24"/>
        </w:rPr>
        <w:t xml:space="preserve">has a fees account with the court), </w:t>
      </w:r>
      <w:r w:rsidR="00BB5909" w:rsidRPr="00CA2C15">
        <w:rPr>
          <w:rFonts w:ascii="Calibri" w:eastAsia="Arial" w:hAnsi="Calibri" w:cs="Calibri"/>
          <w:color w:val="000000"/>
          <w:spacing w:val="-1"/>
          <w:sz w:val="24"/>
          <w:szCs w:val="24"/>
        </w:rPr>
        <w:t xml:space="preserve">or a </w:t>
      </w:r>
      <w:r w:rsidR="00B935ED" w:rsidRPr="00CA2C15">
        <w:rPr>
          <w:rFonts w:ascii="Calibri" w:eastAsia="Arial" w:hAnsi="Calibri" w:cs="Calibri"/>
          <w:color w:val="000000"/>
          <w:spacing w:val="-1"/>
          <w:sz w:val="24"/>
          <w:szCs w:val="24"/>
        </w:rPr>
        <w:t>receipt of payment by debit/credit card or a fee remission certificate.</w:t>
      </w:r>
    </w:p>
    <w:p w14:paraId="05EC2DBE" w14:textId="7AD15676" w:rsidR="001B34CE" w:rsidRPr="00CA2C15" w:rsidRDefault="00B935ED" w:rsidP="00853003">
      <w:pPr>
        <w:pStyle w:val="ListParagraph"/>
        <w:numPr>
          <w:ilvl w:val="0"/>
          <w:numId w:val="4"/>
        </w:numPr>
        <w:spacing w:before="240" w:after="240" w:line="360" w:lineRule="auto"/>
        <w:ind w:left="709" w:hanging="709"/>
        <w:contextualSpacing w:val="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Non-urgent claims should be filed electronically, using </w:t>
      </w:r>
      <w:r w:rsidR="00BB5909" w:rsidRPr="00CA2C15">
        <w:rPr>
          <w:rFonts w:ascii="Calibri" w:eastAsia="Arial" w:hAnsi="Calibri" w:cs="Calibri"/>
          <w:color w:val="000000"/>
          <w:spacing w:val="-1"/>
          <w:sz w:val="24"/>
          <w:szCs w:val="24"/>
        </w:rPr>
        <w:t>CE</w:t>
      </w:r>
      <w:r w:rsidR="000A2A63" w:rsidRPr="00CA2C15">
        <w:rPr>
          <w:rFonts w:ascii="Calibri" w:eastAsia="Arial" w:hAnsi="Calibri" w:cs="Calibri"/>
          <w:color w:val="000000"/>
          <w:spacing w:val="-1"/>
          <w:sz w:val="24"/>
          <w:szCs w:val="24"/>
        </w:rPr>
        <w:t>-</w:t>
      </w:r>
      <w:r w:rsidR="00410BAD" w:rsidRPr="00CA2C15">
        <w:rPr>
          <w:rFonts w:ascii="Calibri" w:eastAsia="Arial" w:hAnsi="Calibri" w:cs="Calibri"/>
          <w:color w:val="000000"/>
          <w:spacing w:val="-1"/>
          <w:sz w:val="24"/>
          <w:szCs w:val="24"/>
        </w:rPr>
        <w:t>Fil</w:t>
      </w:r>
      <w:r w:rsidR="000A2A63" w:rsidRPr="00CA2C15">
        <w:rPr>
          <w:rFonts w:ascii="Calibri" w:eastAsia="Arial" w:hAnsi="Calibri" w:cs="Calibri"/>
          <w:color w:val="000000"/>
          <w:spacing w:val="-1"/>
          <w:sz w:val="24"/>
          <w:szCs w:val="24"/>
        </w:rPr>
        <w:t>e</w:t>
      </w:r>
      <w:r w:rsidR="00410BAD" w:rsidRPr="00CA2C15">
        <w:rPr>
          <w:rFonts w:ascii="Calibri" w:eastAsia="Arial" w:hAnsi="Calibri" w:cs="Calibri"/>
          <w:color w:val="000000"/>
          <w:spacing w:val="-1"/>
          <w:sz w:val="24"/>
          <w:szCs w:val="24"/>
        </w:rPr>
        <w:t xml:space="preserve"> or </w:t>
      </w:r>
      <w:r w:rsidRPr="00CA2C15">
        <w:rPr>
          <w:rFonts w:ascii="Calibri" w:eastAsia="Arial" w:hAnsi="Calibri" w:cs="Calibri"/>
          <w:color w:val="000000"/>
          <w:spacing w:val="-1"/>
          <w:sz w:val="24"/>
          <w:szCs w:val="24"/>
        </w:rPr>
        <w:t>the Document Upload Centre wherever possible.</w:t>
      </w:r>
      <w:r w:rsidR="00196A96" w:rsidRPr="00CA2C15">
        <w:rPr>
          <w:rStyle w:val="FootnoteReference"/>
          <w:rFonts w:ascii="Calibri" w:eastAsia="Arial" w:hAnsi="Calibri" w:cs="Calibri"/>
          <w:color w:val="000000"/>
          <w:spacing w:val="-1"/>
          <w:sz w:val="24"/>
          <w:szCs w:val="24"/>
        </w:rPr>
        <w:footnoteReference w:id="15"/>
      </w:r>
      <w:r w:rsidRPr="00CA2C15">
        <w:rPr>
          <w:rFonts w:ascii="Calibri" w:eastAsia="Arial" w:hAnsi="Calibri" w:cs="Calibri"/>
          <w:color w:val="000000"/>
          <w:spacing w:val="-1"/>
          <w:sz w:val="24"/>
          <w:szCs w:val="24"/>
        </w:rPr>
        <w:t xml:space="preserve"> You must first send in by email a request to upload documents to</w:t>
      </w:r>
      <w:r w:rsidR="00B1788E" w:rsidRPr="00CA2C15">
        <w:rPr>
          <w:rFonts w:ascii="Calibri" w:eastAsia="Arial" w:hAnsi="Calibri" w:cs="Calibri"/>
          <w:color w:val="000000"/>
          <w:spacing w:val="-1"/>
          <w:sz w:val="24"/>
          <w:szCs w:val="24"/>
        </w:rPr>
        <w:t xml:space="preserve"> the court.</w:t>
      </w:r>
      <w:r w:rsidRPr="00CA2C15">
        <w:rPr>
          <w:rFonts w:ascii="Calibri" w:eastAsia="Arial" w:hAnsi="Calibri" w:cs="Calibri"/>
          <w:color w:val="000000"/>
          <w:spacing w:val="-1"/>
          <w:sz w:val="24"/>
          <w:szCs w:val="24"/>
        </w:rPr>
        <w:t xml:space="preserve"> </w:t>
      </w:r>
      <w:r w:rsidR="00B1788E" w:rsidRPr="00CA2C15">
        <w:rPr>
          <w:rFonts w:ascii="Calibri" w:eastAsia="Arial" w:hAnsi="Calibri" w:cs="Calibri"/>
          <w:color w:val="000000"/>
          <w:spacing w:val="-1"/>
          <w:sz w:val="24"/>
          <w:szCs w:val="24"/>
        </w:rPr>
        <w:t>F</w:t>
      </w:r>
      <w:r w:rsidR="006D46F7" w:rsidRPr="00CA2C15">
        <w:rPr>
          <w:rFonts w:ascii="Calibri" w:eastAsia="Arial" w:hAnsi="Calibri" w:cs="Calibri"/>
          <w:color w:val="000000"/>
          <w:spacing w:val="-1"/>
          <w:sz w:val="24"/>
          <w:szCs w:val="24"/>
        </w:rPr>
        <w:t>or London</w:t>
      </w:r>
      <w:r w:rsidR="00B1788E" w:rsidRPr="00CA2C15">
        <w:rPr>
          <w:rFonts w:ascii="Calibri" w:eastAsia="Arial" w:hAnsi="Calibri" w:cs="Calibri"/>
          <w:color w:val="000000"/>
          <w:spacing w:val="-1"/>
          <w:sz w:val="24"/>
          <w:szCs w:val="24"/>
        </w:rPr>
        <w:t>, this is</w:t>
      </w:r>
      <w:r w:rsidR="006D46F7" w:rsidRPr="00CA2C15">
        <w:rPr>
          <w:rFonts w:ascii="Calibri" w:eastAsia="Arial" w:hAnsi="Calibri" w:cs="Calibri"/>
          <w:color w:val="000000"/>
          <w:spacing w:val="-1"/>
          <w:sz w:val="24"/>
          <w:szCs w:val="24"/>
        </w:rPr>
        <w:t>:</w:t>
      </w:r>
      <w:r w:rsidR="00A8129B" w:rsidRPr="00CA2C15">
        <w:rPr>
          <w:rFonts w:ascii="Calibri" w:eastAsia="Arial" w:hAnsi="Calibri" w:cs="Calibri"/>
          <w:color w:val="000000"/>
          <w:sz w:val="24"/>
          <w:szCs w:val="24"/>
        </w:rPr>
        <w:t xml:space="preserve"> </w:t>
      </w:r>
      <w:hyperlink r:id="rId18" w:history="1">
        <w:r w:rsidR="00A8129B" w:rsidRPr="00CA2C15">
          <w:rPr>
            <w:rStyle w:val="Hyperlink"/>
            <w:rFonts w:ascii="Calibri" w:eastAsia="Arial" w:hAnsi="Calibri" w:cs="Calibri"/>
            <w:spacing w:val="-1"/>
            <w:sz w:val="24"/>
            <w:szCs w:val="24"/>
          </w:rPr>
          <w:t>DUC@administrativecourtoffice.justice.gov.uk</w:t>
        </w:r>
      </w:hyperlink>
      <w:r w:rsidR="00B1788E" w:rsidRPr="00CA2C15">
        <w:rPr>
          <w:rFonts w:ascii="Calibri" w:hAnsi="Calibri" w:cs="Calibri"/>
        </w:rPr>
        <w:t>.</w:t>
      </w:r>
      <w:r w:rsidR="00A8129B" w:rsidRPr="00CA2C15">
        <w:rPr>
          <w:rFonts w:ascii="Calibri" w:eastAsia="Arial" w:hAnsi="Calibri" w:cs="Calibri"/>
          <w:color w:val="000000"/>
          <w:spacing w:val="-1"/>
          <w:sz w:val="24"/>
          <w:szCs w:val="24"/>
        </w:rPr>
        <w:t xml:space="preserve"> </w:t>
      </w:r>
      <w:r w:rsidR="00B1788E" w:rsidRPr="00CA2C15">
        <w:rPr>
          <w:rFonts w:ascii="Calibri" w:eastAsia="Arial" w:hAnsi="Calibri" w:cs="Calibri"/>
          <w:color w:val="000000"/>
          <w:spacing w:val="-1"/>
          <w:sz w:val="24"/>
          <w:szCs w:val="24"/>
        </w:rPr>
        <w:t>For</w:t>
      </w:r>
      <w:r w:rsidRPr="00CA2C15">
        <w:rPr>
          <w:rFonts w:ascii="Calibri" w:eastAsia="Arial" w:hAnsi="Calibri" w:cs="Calibri"/>
          <w:color w:val="000000"/>
          <w:spacing w:val="-1"/>
          <w:sz w:val="24"/>
          <w:szCs w:val="24"/>
        </w:rPr>
        <w:t xml:space="preserve"> </w:t>
      </w:r>
      <w:r w:rsidR="006D46F7" w:rsidRPr="00CA2C15">
        <w:rPr>
          <w:rFonts w:ascii="Calibri" w:eastAsia="Arial" w:hAnsi="Calibri" w:cs="Calibri"/>
          <w:color w:val="000000"/>
          <w:spacing w:val="-1"/>
          <w:sz w:val="24"/>
          <w:szCs w:val="24"/>
        </w:rPr>
        <w:t>B</w:t>
      </w:r>
      <w:r w:rsidRPr="00CA2C15">
        <w:rPr>
          <w:rFonts w:ascii="Calibri" w:eastAsia="Arial" w:hAnsi="Calibri" w:cs="Calibri"/>
          <w:color w:val="000000"/>
          <w:spacing w:val="-1"/>
          <w:sz w:val="24"/>
          <w:szCs w:val="24"/>
        </w:rPr>
        <w:t>irmingham/</w:t>
      </w:r>
      <w:r w:rsidR="006D46F7" w:rsidRPr="00CA2C15">
        <w:rPr>
          <w:rFonts w:ascii="Calibri" w:eastAsia="Arial" w:hAnsi="Calibri" w:cs="Calibri"/>
          <w:color w:val="000000"/>
          <w:spacing w:val="-1"/>
          <w:sz w:val="24"/>
          <w:szCs w:val="24"/>
        </w:rPr>
        <w:t xml:space="preserve"> Cardiff</w:t>
      </w:r>
      <w:r w:rsidRPr="00CA2C15">
        <w:rPr>
          <w:rFonts w:ascii="Calibri" w:eastAsia="Arial" w:hAnsi="Calibri" w:cs="Calibri"/>
          <w:color w:val="000000"/>
          <w:spacing w:val="-1"/>
          <w:sz w:val="24"/>
          <w:szCs w:val="24"/>
        </w:rPr>
        <w:t>/</w:t>
      </w:r>
      <w:r w:rsidR="006D46F7" w:rsidRPr="00CA2C15">
        <w:rPr>
          <w:rFonts w:ascii="Calibri" w:eastAsia="Arial" w:hAnsi="Calibri" w:cs="Calibri"/>
          <w:color w:val="000000"/>
          <w:spacing w:val="-1"/>
          <w:sz w:val="24"/>
          <w:szCs w:val="24"/>
        </w:rPr>
        <w:t xml:space="preserve"> Leeds</w:t>
      </w:r>
      <w:r w:rsidRPr="00CA2C15">
        <w:rPr>
          <w:rFonts w:ascii="Calibri" w:eastAsia="Arial" w:hAnsi="Calibri" w:cs="Calibri"/>
          <w:color w:val="000000"/>
          <w:spacing w:val="-1"/>
          <w:sz w:val="24"/>
          <w:szCs w:val="24"/>
        </w:rPr>
        <w:t>/</w:t>
      </w:r>
      <w:r w:rsidR="006D46F7" w:rsidRPr="00CA2C15">
        <w:rPr>
          <w:rFonts w:ascii="Calibri" w:eastAsia="Arial" w:hAnsi="Calibri" w:cs="Calibri"/>
          <w:color w:val="000000"/>
          <w:spacing w:val="-1"/>
          <w:sz w:val="24"/>
          <w:szCs w:val="24"/>
        </w:rPr>
        <w:t xml:space="preserve"> Manchester </w:t>
      </w:r>
      <w:r w:rsidRPr="00CA2C15">
        <w:rPr>
          <w:rFonts w:ascii="Calibri" w:eastAsia="Arial" w:hAnsi="Calibri" w:cs="Calibri"/>
          <w:color w:val="000000"/>
          <w:spacing w:val="-1"/>
          <w:sz w:val="24"/>
          <w:szCs w:val="24"/>
        </w:rPr>
        <w:t>(</w:t>
      </w:r>
      <w:r w:rsidR="005236D2" w:rsidRPr="00CA2C15">
        <w:rPr>
          <w:rFonts w:ascii="Calibri" w:eastAsia="Arial" w:hAnsi="Calibri" w:cs="Calibri"/>
          <w:color w:val="000000"/>
          <w:spacing w:val="-1"/>
          <w:sz w:val="24"/>
          <w:szCs w:val="24"/>
        </w:rPr>
        <w:t xml:space="preserve">adjusting the first word as </w:t>
      </w:r>
      <w:r w:rsidRPr="00CA2C15">
        <w:rPr>
          <w:rFonts w:ascii="Calibri" w:eastAsia="Arial" w:hAnsi="Calibri" w:cs="Calibri"/>
          <w:color w:val="000000"/>
          <w:spacing w:val="-1"/>
          <w:sz w:val="24"/>
          <w:szCs w:val="24"/>
        </w:rPr>
        <w:t>applicable</w:t>
      </w:r>
      <w:r w:rsidR="00CC0AD6" w:rsidRPr="00CA2C15">
        <w:rPr>
          <w:rFonts w:ascii="Calibri" w:eastAsia="Arial" w:hAnsi="Calibri" w:cs="Calibri"/>
          <w:color w:val="000000"/>
          <w:spacing w:val="-1"/>
          <w:sz w:val="24"/>
          <w:szCs w:val="24"/>
        </w:rPr>
        <w:t>)</w:t>
      </w:r>
      <w:r w:rsidR="006D46F7" w:rsidRPr="00CA2C15">
        <w:rPr>
          <w:rFonts w:ascii="Calibri" w:eastAsia="Arial" w:hAnsi="Calibri" w:cs="Calibri"/>
          <w:color w:val="000000"/>
          <w:spacing w:val="-1"/>
          <w:sz w:val="24"/>
          <w:szCs w:val="24"/>
        </w:rPr>
        <w:t>:</w:t>
      </w:r>
      <w:r w:rsidR="001B34CE" w:rsidRPr="00CA2C15">
        <w:rPr>
          <w:rFonts w:ascii="Calibri" w:hAnsi="Calibri" w:cs="Calibri"/>
        </w:rPr>
        <w:t xml:space="preserve"> </w:t>
      </w:r>
      <w:r w:rsidR="00D46EBF" w:rsidRPr="00CA2C15">
        <w:rPr>
          <w:rFonts w:ascii="Calibri" w:hAnsi="Calibri" w:cs="Calibri"/>
          <w:sz w:val="24"/>
          <w:szCs w:val="24"/>
        </w:rPr>
        <w:t>birmingham</w:t>
      </w:r>
      <w:hyperlink r:id="rId19" w:history="1">
        <w:r w:rsidR="00CC0AD6" w:rsidRPr="00CA2C15">
          <w:rPr>
            <w:rStyle w:val="Hyperlink"/>
            <w:rFonts w:ascii="Calibri" w:eastAsia="Arial" w:hAnsi="Calibri" w:cs="Calibri"/>
            <w:spacing w:val="-1"/>
            <w:sz w:val="24"/>
            <w:szCs w:val="24"/>
          </w:rPr>
          <w:t>@administrativecourtoffice.justice.gov.uk</w:t>
        </w:r>
      </w:hyperlink>
      <w:r w:rsidR="00A8129B" w:rsidRPr="00CA2C15">
        <w:rPr>
          <w:rFonts w:ascii="Calibri" w:eastAsia="Arial" w:hAnsi="Calibri" w:cs="Calibri"/>
          <w:color w:val="000000"/>
          <w:spacing w:val="-1"/>
          <w:sz w:val="24"/>
          <w:szCs w:val="24"/>
        </w:rPr>
        <w:t>.</w:t>
      </w:r>
    </w:p>
    <w:p w14:paraId="6BA46339" w14:textId="50DB4FD8" w:rsidR="007243B8" w:rsidRPr="00CA2C15" w:rsidRDefault="00A535B2" w:rsidP="00853003">
      <w:pPr>
        <w:pStyle w:val="ListParagraph"/>
        <w:numPr>
          <w:ilvl w:val="0"/>
          <w:numId w:val="4"/>
        </w:numPr>
        <w:spacing w:before="240" w:after="240" w:line="360" w:lineRule="auto"/>
        <w:ind w:left="709" w:hanging="709"/>
        <w:contextualSpacing w:val="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You will receive </w:t>
      </w:r>
      <w:r w:rsidR="00B935ED" w:rsidRPr="00CA2C15">
        <w:rPr>
          <w:rFonts w:ascii="Calibri" w:eastAsia="Arial" w:hAnsi="Calibri" w:cs="Calibri"/>
          <w:color w:val="000000"/>
          <w:spacing w:val="-1"/>
          <w:sz w:val="24"/>
          <w:szCs w:val="24"/>
        </w:rPr>
        <w:t xml:space="preserve">an invitation from </w:t>
      </w:r>
      <w:r w:rsidR="00C76B14" w:rsidRPr="00CA2C15">
        <w:rPr>
          <w:rFonts w:ascii="Calibri" w:eastAsia="Arial" w:hAnsi="Calibri" w:cs="Calibri"/>
          <w:color w:val="000000"/>
          <w:spacing w:val="-1"/>
          <w:sz w:val="24"/>
          <w:szCs w:val="24"/>
        </w:rPr>
        <w:t xml:space="preserve">the court staff </w:t>
      </w:r>
      <w:r w:rsidR="00B935ED" w:rsidRPr="00CA2C15">
        <w:rPr>
          <w:rFonts w:ascii="Calibri" w:eastAsia="Arial" w:hAnsi="Calibri" w:cs="Calibri"/>
          <w:color w:val="000000"/>
          <w:spacing w:val="-1"/>
          <w:sz w:val="24"/>
          <w:szCs w:val="24"/>
        </w:rPr>
        <w:t xml:space="preserve">by email to upload your documents. You should then upload the permission bundle (prepared in accordance with the court’s guidance), including a PBA number or receipt of payment by debit/credit card. If you are </w:t>
      </w:r>
      <w:r w:rsidR="00B935ED" w:rsidRPr="00CA2C15">
        <w:rPr>
          <w:rFonts w:ascii="Calibri" w:eastAsia="Arial" w:hAnsi="Calibri" w:cs="Calibri"/>
          <w:color w:val="000000"/>
          <w:sz w:val="24"/>
          <w:szCs w:val="24"/>
        </w:rPr>
        <w:t>commencing</w:t>
      </w:r>
      <w:r w:rsidR="00B935ED" w:rsidRPr="00CA2C15">
        <w:rPr>
          <w:rFonts w:ascii="Calibri" w:eastAsia="Arial" w:hAnsi="Calibri" w:cs="Calibri"/>
          <w:color w:val="000000"/>
          <w:spacing w:val="-1"/>
          <w:sz w:val="24"/>
          <w:szCs w:val="24"/>
        </w:rPr>
        <w:t xml:space="preserve"> a claim you must also upload a further PDF document comprising an additional copy of </w:t>
      </w:r>
      <w:r w:rsidR="002F3121" w:rsidRPr="00CA2C15">
        <w:rPr>
          <w:rFonts w:ascii="Calibri" w:eastAsia="Arial" w:hAnsi="Calibri" w:cs="Calibri"/>
          <w:color w:val="000000"/>
          <w:spacing w:val="-1"/>
          <w:sz w:val="24"/>
          <w:szCs w:val="24"/>
        </w:rPr>
        <w:t xml:space="preserve">only </w:t>
      </w:r>
      <w:r w:rsidR="00B935ED" w:rsidRPr="00CA2C15">
        <w:rPr>
          <w:rFonts w:ascii="Calibri" w:eastAsia="Arial" w:hAnsi="Calibri" w:cs="Calibri"/>
          <w:color w:val="000000"/>
          <w:spacing w:val="-1"/>
          <w:sz w:val="24"/>
          <w:szCs w:val="24"/>
        </w:rPr>
        <w:t xml:space="preserve">the </w:t>
      </w:r>
      <w:r w:rsidR="0080210D" w:rsidRPr="00CA2C15">
        <w:rPr>
          <w:rFonts w:ascii="Calibri" w:eastAsia="Arial" w:hAnsi="Calibri" w:cs="Calibri"/>
          <w:color w:val="000000"/>
          <w:spacing w:val="-1"/>
          <w:sz w:val="24"/>
          <w:szCs w:val="24"/>
        </w:rPr>
        <w:t>c</w:t>
      </w:r>
      <w:r w:rsidR="00B935ED" w:rsidRPr="00CA2C15">
        <w:rPr>
          <w:rFonts w:ascii="Calibri" w:eastAsia="Arial" w:hAnsi="Calibri" w:cs="Calibri"/>
          <w:color w:val="000000"/>
          <w:spacing w:val="-1"/>
          <w:sz w:val="24"/>
          <w:szCs w:val="24"/>
        </w:rPr>
        <w:t xml:space="preserve">laim </w:t>
      </w:r>
      <w:r w:rsidR="0080210D" w:rsidRPr="00CA2C15">
        <w:rPr>
          <w:rFonts w:ascii="Calibri" w:eastAsia="Arial" w:hAnsi="Calibri" w:cs="Calibri"/>
          <w:color w:val="000000"/>
          <w:spacing w:val="-1"/>
          <w:sz w:val="24"/>
          <w:szCs w:val="24"/>
        </w:rPr>
        <w:t>f</w:t>
      </w:r>
      <w:r w:rsidR="00B935ED" w:rsidRPr="00CA2C15">
        <w:rPr>
          <w:rFonts w:ascii="Calibri" w:eastAsia="Arial" w:hAnsi="Calibri" w:cs="Calibri"/>
          <w:color w:val="000000"/>
          <w:spacing w:val="-1"/>
          <w:sz w:val="24"/>
          <w:szCs w:val="24"/>
        </w:rPr>
        <w:t>orm</w:t>
      </w:r>
      <w:r w:rsidR="00C76B14" w:rsidRPr="00CA2C15">
        <w:rPr>
          <w:rFonts w:ascii="Calibri" w:eastAsia="Arial" w:hAnsi="Calibri" w:cs="Calibri"/>
          <w:color w:val="000000"/>
          <w:spacing w:val="-1"/>
          <w:sz w:val="24"/>
          <w:szCs w:val="24"/>
        </w:rPr>
        <w:t xml:space="preserve"> </w:t>
      </w:r>
      <w:r w:rsidR="00CC0AD6" w:rsidRPr="00CA2C15">
        <w:rPr>
          <w:rFonts w:ascii="Calibri" w:eastAsia="Arial" w:hAnsi="Calibri" w:cs="Calibri"/>
          <w:color w:val="000000"/>
          <w:spacing w:val="-1"/>
          <w:sz w:val="24"/>
          <w:szCs w:val="24"/>
        </w:rPr>
        <w:t>and the decision document challenged</w:t>
      </w:r>
      <w:r w:rsidR="002F3121" w:rsidRPr="00CA2C15">
        <w:rPr>
          <w:rFonts w:ascii="Calibri" w:eastAsia="Arial" w:hAnsi="Calibri" w:cs="Calibri"/>
          <w:color w:val="000000"/>
          <w:spacing w:val="-1"/>
          <w:sz w:val="24"/>
          <w:szCs w:val="24"/>
        </w:rPr>
        <w:t xml:space="preserve">, so the </w:t>
      </w:r>
      <w:r w:rsidR="0080210D" w:rsidRPr="00CA2C15">
        <w:rPr>
          <w:rFonts w:ascii="Calibri" w:eastAsia="Arial" w:hAnsi="Calibri" w:cs="Calibri"/>
          <w:color w:val="000000"/>
          <w:spacing w:val="-1"/>
          <w:sz w:val="24"/>
          <w:szCs w:val="24"/>
        </w:rPr>
        <w:t>c</w:t>
      </w:r>
      <w:r w:rsidR="002F3121" w:rsidRPr="00CA2C15">
        <w:rPr>
          <w:rFonts w:ascii="Calibri" w:eastAsia="Arial" w:hAnsi="Calibri" w:cs="Calibri"/>
          <w:color w:val="000000"/>
          <w:spacing w:val="-1"/>
          <w:sz w:val="24"/>
          <w:szCs w:val="24"/>
        </w:rPr>
        <w:t>ourt staff can review these documents and issue the claim</w:t>
      </w:r>
      <w:r w:rsidR="00CC0AD6" w:rsidRPr="00CA2C15">
        <w:rPr>
          <w:rFonts w:ascii="Calibri" w:eastAsia="Arial" w:hAnsi="Calibri" w:cs="Calibri"/>
          <w:color w:val="000000"/>
          <w:spacing w:val="-1"/>
          <w:sz w:val="24"/>
          <w:szCs w:val="24"/>
        </w:rPr>
        <w:t>.</w:t>
      </w:r>
    </w:p>
    <w:p w14:paraId="430D2DD7" w14:textId="6CC043C5" w:rsidR="007243B8" w:rsidRPr="00CA2C15" w:rsidRDefault="007243B8" w:rsidP="00853003">
      <w:pPr>
        <w:pStyle w:val="ListParagraph"/>
        <w:numPr>
          <w:ilvl w:val="0"/>
          <w:numId w:val="4"/>
        </w:numPr>
        <w:spacing w:before="240" w:after="240" w:line="360" w:lineRule="auto"/>
        <w:ind w:left="709" w:hanging="709"/>
        <w:contextualSpacing w:val="0"/>
        <w:jc w:val="both"/>
        <w:rPr>
          <w:rFonts w:ascii="Calibri" w:eastAsia="Arial" w:hAnsi="Calibri" w:cs="Calibri"/>
          <w:color w:val="000000"/>
          <w:spacing w:val="-1"/>
          <w:sz w:val="24"/>
          <w:szCs w:val="24"/>
          <w:lang w:val="en-GB"/>
        </w:rPr>
      </w:pPr>
      <w:r w:rsidRPr="00CA2C15">
        <w:rPr>
          <w:rFonts w:ascii="Calibri" w:eastAsia="Arial" w:hAnsi="Calibri" w:cs="Calibri"/>
          <w:color w:val="000000"/>
          <w:spacing w:val="-1"/>
          <w:sz w:val="24"/>
          <w:szCs w:val="24"/>
        </w:rPr>
        <w:t xml:space="preserve">When </w:t>
      </w:r>
      <w:r w:rsidR="00864612" w:rsidRPr="00CA2C15">
        <w:rPr>
          <w:rFonts w:ascii="Calibri" w:eastAsia="Arial" w:hAnsi="Calibri" w:cs="Calibri"/>
          <w:color w:val="000000"/>
          <w:spacing w:val="-1"/>
          <w:sz w:val="24"/>
          <w:szCs w:val="24"/>
        </w:rPr>
        <w:t xml:space="preserve">requesting an </w:t>
      </w:r>
      <w:r w:rsidRPr="00CA2C15">
        <w:rPr>
          <w:rFonts w:ascii="Calibri" w:eastAsia="Arial" w:hAnsi="Calibri" w:cs="Calibri"/>
          <w:color w:val="000000"/>
          <w:spacing w:val="-1"/>
          <w:sz w:val="24"/>
          <w:szCs w:val="24"/>
        </w:rPr>
        <w:t>up</w:t>
      </w:r>
      <w:r w:rsidR="00056DBB" w:rsidRPr="00CA2C15">
        <w:rPr>
          <w:rFonts w:ascii="Calibri" w:eastAsia="Arial" w:hAnsi="Calibri" w:cs="Calibri"/>
          <w:color w:val="000000"/>
          <w:spacing w:val="-1"/>
          <w:sz w:val="24"/>
          <w:szCs w:val="24"/>
        </w:rPr>
        <w:t>load</w:t>
      </w:r>
      <w:r w:rsidR="00864612" w:rsidRPr="00CA2C15">
        <w:rPr>
          <w:rFonts w:ascii="Calibri" w:eastAsia="Arial" w:hAnsi="Calibri" w:cs="Calibri"/>
          <w:color w:val="000000"/>
          <w:spacing w:val="-1"/>
          <w:sz w:val="24"/>
          <w:szCs w:val="24"/>
        </w:rPr>
        <w:t xml:space="preserve"> link for the </w:t>
      </w:r>
      <w:r w:rsidR="00056DBB" w:rsidRPr="00CA2C15">
        <w:rPr>
          <w:rFonts w:ascii="Calibri" w:eastAsia="Arial" w:hAnsi="Calibri" w:cs="Calibri"/>
          <w:color w:val="000000"/>
          <w:spacing w:val="-1"/>
          <w:sz w:val="24"/>
          <w:szCs w:val="24"/>
        </w:rPr>
        <w:t xml:space="preserve">Document Upload Centre, </w:t>
      </w:r>
      <w:r w:rsidR="00864612" w:rsidRPr="00CA2C15">
        <w:rPr>
          <w:rFonts w:ascii="Calibri" w:eastAsia="Arial" w:hAnsi="Calibri" w:cs="Calibri"/>
          <w:color w:val="000000"/>
          <w:spacing w:val="-1"/>
          <w:sz w:val="24"/>
          <w:szCs w:val="24"/>
        </w:rPr>
        <w:t>please note the email response you receive (in PLP’s experience) states “</w:t>
      </w:r>
      <w:r w:rsidR="00864612" w:rsidRPr="00CA2C15">
        <w:rPr>
          <w:rFonts w:ascii="Calibri" w:eastAsia="Arial" w:hAnsi="Calibri" w:cs="Calibri"/>
          <w:color w:val="000000"/>
          <w:spacing w:val="-1"/>
          <w:sz w:val="24"/>
          <w:szCs w:val="24"/>
          <w:lang w:val="en-GB"/>
        </w:rPr>
        <w:t>Once you have uploaded your application please inform the court using the DUC email address”. If you do not inform the ACO that documents have been uploaded they may not retrieve these.</w:t>
      </w:r>
    </w:p>
    <w:p w14:paraId="175B1757" w14:textId="66542CD3" w:rsidR="009B506E" w:rsidRPr="00CA2C15" w:rsidRDefault="00415134" w:rsidP="007005E4">
      <w:pPr>
        <w:numPr>
          <w:ilvl w:val="0"/>
          <w:numId w:val="4"/>
        </w:numPr>
        <w:tabs>
          <w:tab w:val="num" w:pos="1430"/>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z w:val="24"/>
          <w:szCs w:val="24"/>
        </w:rPr>
        <w:t xml:space="preserve">As discussed above, the </w:t>
      </w:r>
      <w:r w:rsidR="00496D25" w:rsidRPr="00CA2C15">
        <w:rPr>
          <w:rFonts w:ascii="Calibri" w:eastAsia="Arial" w:hAnsi="Calibri" w:cs="Calibri"/>
          <w:color w:val="000000"/>
          <w:sz w:val="24"/>
          <w:szCs w:val="24"/>
        </w:rPr>
        <w:t>UT</w:t>
      </w:r>
      <w:r w:rsidR="00154809" w:rsidRPr="00CA2C15">
        <w:rPr>
          <w:rFonts w:ascii="Calibri" w:eastAsia="Arial" w:hAnsi="Calibri" w:cs="Calibri"/>
          <w:color w:val="000000"/>
          <w:sz w:val="24"/>
          <w:szCs w:val="24"/>
        </w:rPr>
        <w:t>IAC</w:t>
      </w:r>
      <w:r w:rsidR="00B935ED" w:rsidRPr="00CA2C15">
        <w:rPr>
          <w:rFonts w:ascii="Calibri" w:eastAsia="Arial" w:hAnsi="Calibri" w:cs="Calibri"/>
          <w:color w:val="000000"/>
          <w:sz w:val="24"/>
          <w:szCs w:val="24"/>
        </w:rPr>
        <w:t xml:space="preserve"> has requirements for the electronic filing of claims that are similar to the Administrative Court which are set out </w:t>
      </w:r>
      <w:r w:rsidR="00B935ED" w:rsidRPr="00CA2C15">
        <w:rPr>
          <w:rFonts w:ascii="Calibri" w:eastAsia="Times New Roman" w:hAnsi="Calibri" w:cs="Calibri"/>
          <w:sz w:val="24"/>
          <w:szCs w:val="20"/>
          <w:lang w:val="en-GB"/>
        </w:rPr>
        <w:t>in</w:t>
      </w:r>
      <w:r w:rsidR="00B935ED" w:rsidRPr="00CA2C15">
        <w:rPr>
          <w:rFonts w:ascii="Calibri" w:eastAsia="Arial" w:hAnsi="Calibri" w:cs="Calibri"/>
          <w:color w:val="000000"/>
          <w:sz w:val="24"/>
          <w:szCs w:val="24"/>
        </w:rPr>
        <w:t xml:space="preserve"> a Guidance Note from the President of UTIAC on CE-file and Electronic Bundles. UTIAC has adopted CE-filing – the online system for filing documents electronically at Court</w:t>
      </w:r>
      <w:r w:rsidR="00CF744E" w:rsidRPr="00CA2C15">
        <w:rPr>
          <w:rFonts w:ascii="Calibri" w:eastAsia="Arial" w:hAnsi="Calibri" w:cs="Calibri"/>
          <w:color w:val="000000"/>
          <w:sz w:val="24"/>
          <w:szCs w:val="24"/>
        </w:rPr>
        <w:t xml:space="preserve">. </w:t>
      </w:r>
    </w:p>
    <w:p w14:paraId="45EF0D1C" w14:textId="61A44900" w:rsidR="005907DF" w:rsidRPr="00CA2C15" w:rsidRDefault="00B935ED" w:rsidP="007005E4">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Fees can be paid using a PBA number if you have a fees account with HMCTS</w:t>
      </w:r>
      <w:r w:rsidR="009B506E"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w:t>
      </w:r>
      <w:r w:rsidR="009B506E" w:rsidRPr="00CA2C15">
        <w:rPr>
          <w:rFonts w:ascii="Calibri" w:eastAsia="Arial" w:hAnsi="Calibri" w:cs="Calibri"/>
          <w:color w:val="000000"/>
          <w:sz w:val="24"/>
          <w:szCs w:val="24"/>
        </w:rPr>
        <w:t>O</w:t>
      </w:r>
      <w:r w:rsidRPr="00CA2C15">
        <w:rPr>
          <w:rFonts w:ascii="Calibri" w:eastAsia="Arial" w:hAnsi="Calibri" w:cs="Calibri"/>
          <w:color w:val="000000"/>
          <w:sz w:val="24"/>
          <w:szCs w:val="24"/>
        </w:rPr>
        <w:t>therwise</w:t>
      </w:r>
      <w:r w:rsidR="005907DF" w:rsidRPr="00CA2C15">
        <w:rPr>
          <w:rFonts w:ascii="Calibri" w:eastAsia="Arial" w:hAnsi="Calibri" w:cs="Calibri"/>
          <w:color w:val="000000"/>
          <w:sz w:val="24"/>
          <w:szCs w:val="24"/>
        </w:rPr>
        <w:t>,</w:t>
      </w:r>
      <w:r w:rsidR="00CF744E" w:rsidRPr="00CA2C15">
        <w:rPr>
          <w:rFonts w:ascii="Calibri" w:eastAsia="Arial" w:hAnsi="Calibri" w:cs="Calibri"/>
          <w:color w:val="000000"/>
          <w:sz w:val="24"/>
          <w:szCs w:val="24"/>
        </w:rPr>
        <w:t xml:space="preserve"> it would be prudent to arrange to pay in an alternative way prior to making your application. For example, you can pay the fee by credit card over the phone.</w:t>
      </w:r>
    </w:p>
    <w:p w14:paraId="5970BDDC" w14:textId="77777777" w:rsidR="00853003" w:rsidRPr="00CA2C15" w:rsidRDefault="00853003" w:rsidP="00853003">
      <w:pPr>
        <w:spacing w:after="240" w:line="360" w:lineRule="auto"/>
        <w:ind w:left="720"/>
        <w:jc w:val="both"/>
        <w:rPr>
          <w:rFonts w:ascii="Calibri" w:eastAsia="Arial" w:hAnsi="Calibri" w:cs="Calibri"/>
          <w:color w:val="000000"/>
          <w:sz w:val="24"/>
          <w:szCs w:val="24"/>
        </w:rPr>
      </w:pPr>
    </w:p>
    <w:p w14:paraId="1DBC2E00" w14:textId="1A873F29" w:rsidR="00B935ED" w:rsidRPr="00CA2C15" w:rsidRDefault="002E3F06" w:rsidP="005907DF">
      <w:pPr>
        <w:tabs>
          <w:tab w:val="left" w:pos="216"/>
          <w:tab w:val="left" w:pos="288"/>
        </w:tabs>
        <w:spacing w:after="240" w:line="360" w:lineRule="auto"/>
        <w:ind w:left="357"/>
        <w:jc w:val="both"/>
        <w:textAlignment w:val="baseline"/>
        <w:rPr>
          <w:rFonts w:ascii="Calibri" w:eastAsia="Arial" w:hAnsi="Calibri" w:cs="Calibri"/>
          <w:color w:val="000000"/>
          <w:sz w:val="24"/>
          <w:szCs w:val="24"/>
        </w:rPr>
      </w:pPr>
      <w:r w:rsidRPr="00CA2C15">
        <w:rPr>
          <w:rFonts w:ascii="Calibri" w:eastAsia="Arial" w:hAnsi="Calibri" w:cs="Calibri"/>
          <w:b/>
          <w:color w:val="000000"/>
          <w:spacing w:val="-1"/>
          <w:sz w:val="24"/>
          <w:szCs w:val="24"/>
        </w:rPr>
        <w:tab/>
      </w:r>
      <w:r w:rsidR="00B935ED" w:rsidRPr="00CA2C15">
        <w:rPr>
          <w:rFonts w:ascii="Calibri" w:eastAsia="Arial" w:hAnsi="Calibri" w:cs="Calibri"/>
          <w:b/>
          <w:color w:val="000000"/>
          <w:spacing w:val="-1"/>
          <w:sz w:val="24"/>
          <w:szCs w:val="24"/>
        </w:rPr>
        <w:t>Serving Proceedings</w:t>
      </w:r>
    </w:p>
    <w:p w14:paraId="11C208C4" w14:textId="79BB51AF" w:rsidR="005907DF" w:rsidRPr="00CA2C15" w:rsidRDefault="00B935ED" w:rsidP="007005E4">
      <w:pPr>
        <w:numPr>
          <w:ilvl w:val="0"/>
          <w:numId w:val="4"/>
        </w:numPr>
        <w:tabs>
          <w:tab w:val="num" w:pos="1430"/>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You must serve the sealed/issued claim form on the </w:t>
      </w:r>
      <w:r w:rsidR="007005E4" w:rsidRPr="00CA2C15">
        <w:rPr>
          <w:rFonts w:ascii="Calibri" w:eastAsia="Arial" w:hAnsi="Calibri" w:cs="Calibri"/>
          <w:color w:val="000000"/>
          <w:spacing w:val="-2"/>
          <w:sz w:val="24"/>
          <w:szCs w:val="24"/>
        </w:rPr>
        <w:t>d</w:t>
      </w:r>
      <w:r w:rsidRPr="00CA2C15">
        <w:rPr>
          <w:rFonts w:ascii="Calibri" w:eastAsia="Arial" w:hAnsi="Calibri" w:cs="Calibri"/>
          <w:color w:val="000000"/>
          <w:spacing w:val="-2"/>
          <w:sz w:val="24"/>
          <w:szCs w:val="24"/>
        </w:rPr>
        <w:t xml:space="preserve">efendant and any </w:t>
      </w:r>
      <w:r w:rsidR="007005E4" w:rsidRPr="00CA2C15">
        <w:rPr>
          <w:rFonts w:ascii="Calibri" w:eastAsia="Arial" w:hAnsi="Calibri" w:cs="Calibri"/>
          <w:color w:val="000000"/>
          <w:sz w:val="24"/>
          <w:szCs w:val="24"/>
        </w:rPr>
        <w:t>i</w:t>
      </w:r>
      <w:r w:rsidRPr="00CA2C15">
        <w:rPr>
          <w:rFonts w:ascii="Calibri" w:eastAsia="Arial" w:hAnsi="Calibri" w:cs="Calibri"/>
          <w:color w:val="000000"/>
          <w:sz w:val="24"/>
          <w:szCs w:val="24"/>
        </w:rPr>
        <w:t>nterested</w:t>
      </w:r>
      <w:r w:rsidRPr="00CA2C15">
        <w:rPr>
          <w:rFonts w:ascii="Calibri" w:eastAsia="Arial" w:hAnsi="Calibri" w:cs="Calibri"/>
          <w:color w:val="000000"/>
          <w:spacing w:val="-2"/>
          <w:sz w:val="24"/>
          <w:szCs w:val="24"/>
        </w:rPr>
        <w:t xml:space="preserve"> </w:t>
      </w:r>
      <w:r w:rsidR="007005E4" w:rsidRPr="00CA2C15">
        <w:rPr>
          <w:rFonts w:ascii="Calibri" w:eastAsia="Arial" w:hAnsi="Calibri" w:cs="Calibri"/>
          <w:color w:val="000000"/>
          <w:spacing w:val="-2"/>
          <w:sz w:val="24"/>
          <w:szCs w:val="24"/>
        </w:rPr>
        <w:t>p</w:t>
      </w:r>
      <w:r w:rsidRPr="00CA2C15">
        <w:rPr>
          <w:rFonts w:ascii="Calibri" w:eastAsia="Arial" w:hAnsi="Calibri" w:cs="Calibri"/>
          <w:color w:val="000000"/>
          <w:spacing w:val="-2"/>
          <w:sz w:val="24"/>
          <w:szCs w:val="24"/>
        </w:rPr>
        <w:t>arties within seven days after the date of issue</w:t>
      </w:r>
      <w:r w:rsidR="009B506E" w:rsidRPr="00CA2C15">
        <w:rPr>
          <w:rFonts w:ascii="Calibri" w:eastAsia="Arial" w:hAnsi="Calibri" w:cs="Calibri"/>
          <w:color w:val="000000"/>
          <w:spacing w:val="-2"/>
          <w:sz w:val="24"/>
          <w:szCs w:val="24"/>
        </w:rPr>
        <w:t xml:space="preserve"> i.e. within seven days of receiving a sealed claim form</w:t>
      </w:r>
      <w:r w:rsidR="00160EBF" w:rsidRPr="00CA2C15">
        <w:rPr>
          <w:rFonts w:ascii="Calibri" w:eastAsia="Arial" w:hAnsi="Calibri" w:cs="Calibri"/>
          <w:color w:val="000000"/>
          <w:spacing w:val="-2"/>
          <w:sz w:val="24"/>
          <w:szCs w:val="24"/>
        </w:rPr>
        <w:t xml:space="preserve"> (CPR 54.7)</w:t>
      </w:r>
      <w:r w:rsidRPr="00CA2C15">
        <w:rPr>
          <w:rFonts w:ascii="Calibri" w:eastAsia="Arial" w:hAnsi="Calibri" w:cs="Calibri"/>
          <w:color w:val="000000"/>
          <w:spacing w:val="-2"/>
          <w:sz w:val="24"/>
          <w:szCs w:val="24"/>
        </w:rPr>
        <w:t xml:space="preserve">. Although it is not necessarily required, it is </w:t>
      </w:r>
      <w:r w:rsidRPr="00CA2C15">
        <w:rPr>
          <w:rFonts w:ascii="Calibri" w:eastAsia="Times New Roman" w:hAnsi="Calibri" w:cs="Calibri"/>
          <w:sz w:val="24"/>
          <w:szCs w:val="20"/>
          <w:lang w:val="en-GB"/>
        </w:rPr>
        <w:t>appropriate</w:t>
      </w:r>
      <w:r w:rsidRPr="00CA2C15">
        <w:rPr>
          <w:rFonts w:ascii="Calibri" w:eastAsia="Arial" w:hAnsi="Calibri" w:cs="Calibri"/>
          <w:color w:val="000000"/>
          <w:spacing w:val="-2"/>
          <w:sz w:val="24"/>
          <w:szCs w:val="24"/>
        </w:rPr>
        <w:t xml:space="preserve"> to serve a copy of the permission bundle on the Defendant at the same time. It may seem an obvious point, but it is of critical importance that the sealed claim form and permission bundle are served on the </w:t>
      </w:r>
      <w:r w:rsidR="003F2E0D" w:rsidRPr="00CA2C15">
        <w:rPr>
          <w:rFonts w:ascii="Calibri" w:eastAsia="Arial" w:hAnsi="Calibri" w:cs="Calibri"/>
          <w:color w:val="000000"/>
          <w:spacing w:val="-2"/>
          <w:sz w:val="24"/>
          <w:szCs w:val="24"/>
        </w:rPr>
        <w:t>d</w:t>
      </w:r>
      <w:r w:rsidRPr="00CA2C15">
        <w:rPr>
          <w:rFonts w:ascii="Calibri" w:eastAsia="Arial" w:hAnsi="Calibri" w:cs="Calibri"/>
          <w:color w:val="000000"/>
          <w:spacing w:val="-2"/>
          <w:sz w:val="24"/>
          <w:szCs w:val="24"/>
        </w:rPr>
        <w:t xml:space="preserve">efendant at the correct address. Service can only be effected by email if the </w:t>
      </w:r>
      <w:r w:rsidR="003F2E0D" w:rsidRPr="00CA2C15">
        <w:rPr>
          <w:rFonts w:ascii="Calibri" w:eastAsia="Arial" w:hAnsi="Calibri" w:cs="Calibri"/>
          <w:color w:val="000000"/>
          <w:spacing w:val="-2"/>
          <w:sz w:val="24"/>
          <w:szCs w:val="24"/>
        </w:rPr>
        <w:t>d</w:t>
      </w:r>
      <w:r w:rsidRPr="00CA2C15">
        <w:rPr>
          <w:rFonts w:ascii="Calibri" w:eastAsia="Arial" w:hAnsi="Calibri" w:cs="Calibri"/>
          <w:color w:val="000000"/>
          <w:spacing w:val="-2"/>
          <w:sz w:val="24"/>
          <w:szCs w:val="24"/>
        </w:rPr>
        <w:t xml:space="preserve">efendant has confirmed that it will accept service by email and the sealed claim form must be sent to the email address that the </w:t>
      </w:r>
      <w:r w:rsidR="003F2E0D" w:rsidRPr="00CA2C15">
        <w:rPr>
          <w:rFonts w:ascii="Calibri" w:eastAsia="Arial" w:hAnsi="Calibri" w:cs="Calibri"/>
          <w:color w:val="000000"/>
          <w:spacing w:val="-2"/>
          <w:sz w:val="24"/>
          <w:szCs w:val="24"/>
        </w:rPr>
        <w:t>d</w:t>
      </w:r>
      <w:r w:rsidRPr="00CA2C15">
        <w:rPr>
          <w:rFonts w:ascii="Calibri" w:eastAsia="Arial" w:hAnsi="Calibri" w:cs="Calibri"/>
          <w:color w:val="000000"/>
          <w:spacing w:val="-2"/>
          <w:sz w:val="24"/>
          <w:szCs w:val="24"/>
        </w:rPr>
        <w:t>efendant has confirmed can be used for service. If this step is not followed then service will be defective and this may prove to be fatal: the court may set aside the claim form for want of jurisdiction by reason of invalid service.</w:t>
      </w:r>
    </w:p>
    <w:p w14:paraId="10810CE6" w14:textId="181EF949" w:rsidR="00742D9C" w:rsidRPr="00CA2C15" w:rsidRDefault="00742D9C" w:rsidP="00D15C63">
      <w:pPr>
        <w:numPr>
          <w:ilvl w:val="0"/>
          <w:numId w:val="4"/>
        </w:numPr>
        <w:spacing w:after="240" w:line="360" w:lineRule="auto"/>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Following </w:t>
      </w:r>
      <w:r w:rsidR="00780F08" w:rsidRPr="00CA2C15">
        <w:rPr>
          <w:rFonts w:ascii="Calibri" w:eastAsia="Arial" w:hAnsi="Calibri" w:cs="Calibri"/>
          <w:color w:val="000000"/>
          <w:spacing w:val="-2"/>
          <w:sz w:val="24"/>
          <w:szCs w:val="24"/>
        </w:rPr>
        <w:t>service,</w:t>
      </w:r>
      <w:r w:rsidRPr="00CA2C15">
        <w:rPr>
          <w:rFonts w:ascii="Calibri" w:eastAsia="Arial" w:hAnsi="Calibri" w:cs="Calibri"/>
          <w:color w:val="000000"/>
          <w:spacing w:val="-2"/>
          <w:sz w:val="24"/>
          <w:szCs w:val="24"/>
        </w:rPr>
        <w:t xml:space="preserve"> you must file a certificate of service with the court within 21 days of </w:t>
      </w:r>
      <w:r w:rsidRPr="00CA2C15">
        <w:rPr>
          <w:rFonts w:ascii="Calibri" w:eastAsia="Arial" w:hAnsi="Calibri" w:cs="Calibri"/>
          <w:color w:val="000000"/>
          <w:sz w:val="24"/>
          <w:szCs w:val="24"/>
        </w:rPr>
        <w:t>serving</w:t>
      </w:r>
      <w:r w:rsidRPr="00CA2C15">
        <w:rPr>
          <w:rFonts w:ascii="Calibri" w:eastAsia="Arial" w:hAnsi="Calibri" w:cs="Calibri"/>
          <w:color w:val="000000"/>
          <w:spacing w:val="-2"/>
          <w:sz w:val="24"/>
          <w:szCs w:val="24"/>
        </w:rPr>
        <w:t xml:space="preserve"> (on form N215) (CPR6.17(2)).</w:t>
      </w:r>
      <w:r w:rsidR="00D15C63" w:rsidRPr="00CA2C15">
        <w:rPr>
          <w:rFonts w:ascii="Calibri" w:eastAsia="Arial" w:hAnsi="Calibri" w:cs="Calibri"/>
          <w:color w:val="000000"/>
          <w:spacing w:val="-2"/>
          <w:sz w:val="24"/>
          <w:szCs w:val="24"/>
        </w:rPr>
        <w:t xml:space="preserve"> If, after 28 days from lodging the </w:t>
      </w:r>
      <w:r w:rsidR="002D44B9" w:rsidRPr="00CA2C15">
        <w:rPr>
          <w:rFonts w:ascii="Calibri" w:eastAsia="Arial" w:hAnsi="Calibri" w:cs="Calibri"/>
          <w:color w:val="000000"/>
          <w:spacing w:val="-2"/>
          <w:sz w:val="24"/>
          <w:szCs w:val="24"/>
        </w:rPr>
        <w:t>c</w:t>
      </w:r>
      <w:r w:rsidR="00D15C63" w:rsidRPr="00CA2C15">
        <w:rPr>
          <w:rFonts w:ascii="Calibri" w:eastAsia="Arial" w:hAnsi="Calibri" w:cs="Calibri"/>
          <w:color w:val="000000"/>
          <w:spacing w:val="-2"/>
          <w:sz w:val="24"/>
          <w:szCs w:val="24"/>
        </w:rPr>
        <w:t xml:space="preserve">laim </w:t>
      </w:r>
      <w:r w:rsidR="002D44B9" w:rsidRPr="00CA2C15">
        <w:rPr>
          <w:rFonts w:ascii="Calibri" w:eastAsia="Arial" w:hAnsi="Calibri" w:cs="Calibri"/>
          <w:color w:val="000000"/>
          <w:spacing w:val="-2"/>
          <w:sz w:val="24"/>
          <w:szCs w:val="24"/>
        </w:rPr>
        <w:t>f</w:t>
      </w:r>
      <w:r w:rsidR="00D15C63" w:rsidRPr="00CA2C15">
        <w:rPr>
          <w:rFonts w:ascii="Calibri" w:eastAsia="Arial" w:hAnsi="Calibri" w:cs="Calibri"/>
          <w:color w:val="000000"/>
          <w:spacing w:val="-2"/>
          <w:sz w:val="24"/>
          <w:szCs w:val="24"/>
        </w:rPr>
        <w:t xml:space="preserve">orm, the ACO has not received a certificate of service or an acknowledgment of service from the defendant, the case will be closed, and will only be reopened by </w:t>
      </w:r>
      <w:r w:rsidR="00E8711B" w:rsidRPr="00CA2C15">
        <w:rPr>
          <w:rFonts w:ascii="Calibri" w:eastAsia="Arial" w:hAnsi="Calibri" w:cs="Calibri"/>
          <w:color w:val="000000"/>
          <w:spacing w:val="-2"/>
          <w:sz w:val="24"/>
          <w:szCs w:val="24"/>
        </w:rPr>
        <w:t>judicial order which would require an application notice and fee to be paid.</w:t>
      </w:r>
    </w:p>
    <w:p w14:paraId="6A1E1DD3" w14:textId="518EBA2C" w:rsidR="00B935ED" w:rsidRPr="00CA2C15" w:rsidRDefault="002E3F06" w:rsidP="005907DF">
      <w:pPr>
        <w:tabs>
          <w:tab w:val="left" w:pos="216"/>
          <w:tab w:val="left" w:pos="288"/>
        </w:tabs>
        <w:spacing w:after="240" w:line="360" w:lineRule="auto"/>
        <w:ind w:left="357"/>
        <w:jc w:val="both"/>
        <w:textAlignment w:val="baseline"/>
        <w:rPr>
          <w:rFonts w:ascii="Calibri" w:eastAsia="Arial" w:hAnsi="Calibri" w:cs="Calibri"/>
          <w:color w:val="000000"/>
          <w:spacing w:val="-2"/>
          <w:sz w:val="24"/>
          <w:szCs w:val="24"/>
        </w:rPr>
      </w:pPr>
      <w:r w:rsidRPr="00CA2C15">
        <w:rPr>
          <w:rFonts w:ascii="Calibri" w:eastAsia="Arial" w:hAnsi="Calibri" w:cs="Calibri"/>
          <w:b/>
          <w:color w:val="000000"/>
          <w:sz w:val="24"/>
          <w:szCs w:val="24"/>
        </w:rPr>
        <w:tab/>
      </w:r>
      <w:r w:rsidR="00B935ED" w:rsidRPr="00CA2C15">
        <w:rPr>
          <w:rFonts w:ascii="Calibri" w:eastAsia="Arial" w:hAnsi="Calibri" w:cs="Calibri"/>
          <w:b/>
          <w:color w:val="000000"/>
          <w:sz w:val="24"/>
          <w:szCs w:val="24"/>
        </w:rPr>
        <w:t>Acknowledgment of Service</w:t>
      </w:r>
    </w:p>
    <w:p w14:paraId="206B28AE" w14:textId="75BC93B6" w:rsidR="00B935ED" w:rsidRPr="00CA2C15" w:rsidRDefault="00B935ED" w:rsidP="002D44B9">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pacing w:val="-2"/>
          <w:sz w:val="24"/>
          <w:szCs w:val="24"/>
        </w:rPr>
        <w:t>The</w:t>
      </w:r>
      <w:r w:rsidRPr="00CA2C15">
        <w:rPr>
          <w:rFonts w:ascii="Calibri" w:eastAsia="Arial" w:hAnsi="Calibri" w:cs="Calibri"/>
          <w:color w:val="000000"/>
          <w:sz w:val="24"/>
          <w:szCs w:val="24"/>
        </w:rPr>
        <w:t xml:space="preserve"> </w:t>
      </w:r>
      <w:r w:rsidR="002D44B9"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and any </w:t>
      </w:r>
      <w:r w:rsidR="002D44B9" w:rsidRPr="00CA2C15">
        <w:rPr>
          <w:rFonts w:ascii="Calibri" w:eastAsia="Arial" w:hAnsi="Calibri" w:cs="Calibri"/>
          <w:color w:val="000000"/>
          <w:sz w:val="24"/>
          <w:szCs w:val="24"/>
        </w:rPr>
        <w:t>i</w:t>
      </w:r>
      <w:r w:rsidRPr="00CA2C15">
        <w:rPr>
          <w:rFonts w:ascii="Calibri" w:eastAsia="Arial" w:hAnsi="Calibri" w:cs="Calibri"/>
          <w:color w:val="000000"/>
          <w:sz w:val="24"/>
          <w:szCs w:val="24"/>
        </w:rPr>
        <w:t xml:space="preserve">nterested </w:t>
      </w:r>
      <w:r w:rsidR="002D44B9" w:rsidRPr="00CA2C15">
        <w:rPr>
          <w:rFonts w:ascii="Calibri" w:eastAsia="Arial" w:hAnsi="Calibri" w:cs="Calibri"/>
          <w:color w:val="000000"/>
          <w:sz w:val="24"/>
          <w:szCs w:val="24"/>
        </w:rPr>
        <w:t>p</w:t>
      </w:r>
      <w:r w:rsidRPr="00CA2C15">
        <w:rPr>
          <w:rFonts w:ascii="Calibri" w:eastAsia="Arial" w:hAnsi="Calibri" w:cs="Calibri"/>
          <w:color w:val="000000"/>
          <w:sz w:val="24"/>
          <w:szCs w:val="24"/>
        </w:rPr>
        <w:t xml:space="preserve">arties then have 21 days to lodge their </w:t>
      </w:r>
      <w:r w:rsidRPr="00CA2C15">
        <w:rPr>
          <w:rFonts w:ascii="Calibri" w:eastAsia="Times New Roman" w:hAnsi="Calibri" w:cs="Calibri"/>
          <w:sz w:val="24"/>
          <w:szCs w:val="20"/>
          <w:lang w:val="en-GB"/>
        </w:rPr>
        <w:t>Acknowledgment</w:t>
      </w:r>
      <w:r w:rsidRPr="00CA2C15">
        <w:rPr>
          <w:rFonts w:ascii="Calibri" w:eastAsia="Arial" w:hAnsi="Calibri" w:cs="Calibri"/>
          <w:color w:val="000000"/>
          <w:sz w:val="24"/>
          <w:szCs w:val="24"/>
        </w:rPr>
        <w:t xml:space="preserve"> of Service (‘AoS’) if they cho</w:t>
      </w:r>
      <w:r w:rsidR="002D44B9" w:rsidRPr="00CA2C15">
        <w:rPr>
          <w:rFonts w:ascii="Calibri" w:eastAsia="Arial" w:hAnsi="Calibri" w:cs="Calibri"/>
          <w:color w:val="000000"/>
          <w:sz w:val="24"/>
          <w:szCs w:val="24"/>
        </w:rPr>
        <w:t>o</w:t>
      </w:r>
      <w:r w:rsidRPr="00CA2C15">
        <w:rPr>
          <w:rFonts w:ascii="Calibri" w:eastAsia="Arial" w:hAnsi="Calibri" w:cs="Calibri"/>
          <w:color w:val="000000"/>
          <w:sz w:val="24"/>
          <w:szCs w:val="24"/>
        </w:rPr>
        <w:t>se to do so</w:t>
      </w:r>
      <w:r w:rsidR="00C125EE" w:rsidRPr="00CA2C15">
        <w:rPr>
          <w:rFonts w:ascii="Calibri" w:eastAsia="Arial" w:hAnsi="Calibri" w:cs="Calibri"/>
          <w:color w:val="000000"/>
          <w:sz w:val="24"/>
          <w:szCs w:val="24"/>
        </w:rPr>
        <w:t xml:space="preserve"> </w:t>
      </w:r>
      <w:r w:rsidR="001F7FCF" w:rsidRPr="00CA2C15">
        <w:rPr>
          <w:rFonts w:ascii="Calibri" w:eastAsia="Arial" w:hAnsi="Calibri" w:cs="Calibri"/>
          <w:color w:val="000000"/>
          <w:sz w:val="24"/>
          <w:szCs w:val="24"/>
        </w:rPr>
        <w:t xml:space="preserve">and they then have seven days to serve it on the </w:t>
      </w:r>
      <w:r w:rsidR="002D44B9" w:rsidRPr="00CA2C15">
        <w:rPr>
          <w:rFonts w:ascii="Calibri" w:eastAsia="Arial" w:hAnsi="Calibri" w:cs="Calibri"/>
          <w:color w:val="000000"/>
          <w:sz w:val="24"/>
          <w:szCs w:val="24"/>
        </w:rPr>
        <w:t>c</w:t>
      </w:r>
      <w:r w:rsidR="001F7FCF" w:rsidRPr="00CA2C15">
        <w:rPr>
          <w:rFonts w:ascii="Calibri" w:eastAsia="Arial" w:hAnsi="Calibri" w:cs="Calibri"/>
          <w:color w:val="000000"/>
          <w:sz w:val="24"/>
          <w:szCs w:val="24"/>
        </w:rPr>
        <w:t xml:space="preserve">laimant </w:t>
      </w:r>
      <w:r w:rsidR="00C125EE" w:rsidRPr="00CA2C15">
        <w:rPr>
          <w:rFonts w:ascii="Calibri" w:eastAsia="Arial" w:hAnsi="Calibri" w:cs="Calibri"/>
          <w:color w:val="000000"/>
          <w:sz w:val="24"/>
          <w:szCs w:val="24"/>
        </w:rPr>
        <w:t>(CPR54.8</w:t>
      </w:r>
      <w:r w:rsidR="001F7FCF" w:rsidRPr="00CA2C15">
        <w:rPr>
          <w:rFonts w:ascii="Calibri" w:eastAsia="Arial" w:hAnsi="Calibri" w:cs="Calibri"/>
          <w:color w:val="000000"/>
          <w:sz w:val="24"/>
          <w:szCs w:val="24"/>
        </w:rPr>
        <w:t>(2</w:t>
      </w:r>
      <w:r w:rsidR="00C125EE" w:rsidRPr="00CA2C15">
        <w:rPr>
          <w:rFonts w:ascii="Calibri" w:eastAsia="Arial" w:hAnsi="Calibri" w:cs="Calibri"/>
          <w:color w:val="000000"/>
          <w:sz w:val="24"/>
          <w:szCs w:val="24"/>
        </w:rPr>
        <w:t>)</w:t>
      </w:r>
      <w:r w:rsidRPr="00CA2C15">
        <w:rPr>
          <w:rFonts w:ascii="Calibri" w:eastAsia="Arial" w:hAnsi="Calibri" w:cs="Calibri"/>
          <w:color w:val="000000"/>
          <w:sz w:val="24"/>
          <w:szCs w:val="24"/>
        </w:rPr>
        <w:t>.</w:t>
      </w:r>
    </w:p>
    <w:p w14:paraId="465A47C7" w14:textId="0313C8F8" w:rsidR="002E3F06" w:rsidRPr="00CA2C15" w:rsidRDefault="00B935ED">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Any response to a claim must be filed electronically with the ACO. Defendants who are represented </w:t>
      </w:r>
      <w:r w:rsidRPr="00CA2C15">
        <w:rPr>
          <w:rFonts w:ascii="Calibri" w:eastAsia="Arial" w:hAnsi="Calibri" w:cs="Calibri"/>
          <w:color w:val="000000"/>
          <w:spacing w:val="-2"/>
          <w:sz w:val="24"/>
          <w:szCs w:val="24"/>
        </w:rPr>
        <w:t>should</w:t>
      </w:r>
      <w:r w:rsidRPr="00CA2C15">
        <w:rPr>
          <w:rFonts w:ascii="Calibri" w:eastAsia="Arial" w:hAnsi="Calibri" w:cs="Calibri"/>
          <w:color w:val="000000"/>
          <w:sz w:val="24"/>
          <w:szCs w:val="24"/>
        </w:rPr>
        <w:t xml:space="preserve"> file all documents, including all </w:t>
      </w:r>
      <w:r w:rsidR="00B27CAB" w:rsidRPr="00CA2C15">
        <w:rPr>
          <w:rFonts w:ascii="Calibri" w:eastAsia="Times New Roman" w:hAnsi="Calibri" w:cs="Calibri"/>
          <w:sz w:val="24"/>
          <w:szCs w:val="20"/>
          <w:lang w:val="en-GB"/>
        </w:rPr>
        <w:t>A</w:t>
      </w:r>
      <w:r w:rsidR="00B07639" w:rsidRPr="00CA2C15">
        <w:rPr>
          <w:rFonts w:ascii="Calibri" w:eastAsia="Times New Roman" w:hAnsi="Calibri" w:cs="Calibri"/>
          <w:sz w:val="24"/>
          <w:szCs w:val="20"/>
          <w:lang w:val="en-GB"/>
        </w:rPr>
        <w:t>oS</w:t>
      </w:r>
      <w:r w:rsidRPr="00CA2C15">
        <w:rPr>
          <w:rFonts w:ascii="Calibri" w:eastAsia="Arial" w:hAnsi="Calibri" w:cs="Calibri"/>
          <w:color w:val="000000"/>
          <w:sz w:val="24"/>
          <w:szCs w:val="24"/>
        </w:rPr>
        <w:t xml:space="preserve">, and any interlocutory applications </w:t>
      </w:r>
      <w:r w:rsidR="00C40D65" w:rsidRPr="00CA2C15">
        <w:rPr>
          <w:rFonts w:ascii="Calibri" w:eastAsia="Arial" w:hAnsi="Calibri" w:cs="Calibri"/>
          <w:color w:val="000000"/>
          <w:sz w:val="24"/>
          <w:szCs w:val="24"/>
        </w:rPr>
        <w:t xml:space="preserve">either by email to </w:t>
      </w:r>
      <w:hyperlink r:id="rId20" w:history="1">
        <w:r w:rsidR="002E3F06" w:rsidRPr="00CA2C15">
          <w:rPr>
            <w:rStyle w:val="Hyperlink"/>
            <w:rFonts w:ascii="Calibri" w:eastAsia="Arial" w:hAnsi="Calibri" w:cs="Calibri"/>
            <w:sz w:val="24"/>
            <w:szCs w:val="24"/>
          </w:rPr>
          <w:t>caseprgoression@adminsitrativecourtoffice.justice.gov.uk</w:t>
        </w:r>
      </w:hyperlink>
      <w:r w:rsidR="00C40D65" w:rsidRPr="00CA2C15">
        <w:rPr>
          <w:rFonts w:ascii="Calibri" w:eastAsia="Arial" w:hAnsi="Calibri" w:cs="Calibri"/>
          <w:color w:val="000000"/>
          <w:sz w:val="24"/>
          <w:szCs w:val="24"/>
        </w:rPr>
        <w:t xml:space="preserve"> (if in London) or </w:t>
      </w:r>
      <w:r w:rsidR="00BD4BD7" w:rsidRPr="00CA2C15">
        <w:rPr>
          <w:rFonts w:ascii="Calibri" w:eastAsia="Arial" w:hAnsi="Calibri" w:cs="Calibri"/>
          <w:color w:val="000000"/>
          <w:spacing w:val="-1"/>
          <w:sz w:val="24"/>
          <w:szCs w:val="24"/>
        </w:rPr>
        <w:t>(outside London) Birmingham/ Cardiff/ Leeds/ Manchester (as applicable):</w:t>
      </w:r>
      <w:r w:rsidR="00BD4BD7" w:rsidRPr="00CA2C15">
        <w:rPr>
          <w:rFonts w:ascii="Calibri" w:hAnsi="Calibri" w:cs="Calibri"/>
        </w:rPr>
        <w:t xml:space="preserve"> </w:t>
      </w:r>
      <w:hyperlink r:id="rId21" w:history="1">
        <w:r w:rsidR="00BD4BD7" w:rsidRPr="00CA2C15">
          <w:rPr>
            <w:rStyle w:val="Hyperlink"/>
            <w:rFonts w:ascii="Calibri" w:eastAsia="Arial" w:hAnsi="Calibri" w:cs="Calibri"/>
            <w:spacing w:val="-1"/>
            <w:sz w:val="24"/>
            <w:szCs w:val="24"/>
          </w:rPr>
          <w:t>@administrativecourtoffice.justice.gov.uk</w:t>
        </w:r>
      </w:hyperlink>
      <w:r w:rsidR="00257435" w:rsidRPr="00CA2C15">
        <w:rPr>
          <w:rFonts w:ascii="Calibri" w:eastAsia="Arial" w:hAnsi="Calibri" w:cs="Calibri"/>
          <w:color w:val="000000"/>
          <w:sz w:val="24"/>
          <w:szCs w:val="24"/>
        </w:rPr>
        <w:t xml:space="preserve">. </w:t>
      </w:r>
    </w:p>
    <w:p w14:paraId="6B5D9BC0" w14:textId="77777777" w:rsidR="00AC70E5" w:rsidRPr="00CA2C15" w:rsidRDefault="00257435" w:rsidP="00AC70E5">
      <w:pPr>
        <w:spacing w:after="240" w:line="360" w:lineRule="auto"/>
        <w:ind w:left="720"/>
        <w:jc w:val="both"/>
        <w:rPr>
          <w:rFonts w:ascii="Calibri" w:eastAsia="Arial" w:hAnsi="Calibri" w:cs="Calibri"/>
          <w:color w:val="000000"/>
          <w:sz w:val="24"/>
          <w:szCs w:val="24"/>
        </w:rPr>
      </w:pPr>
      <w:r w:rsidRPr="00CA2C15">
        <w:rPr>
          <w:rFonts w:ascii="Calibri" w:eastAsia="Arial" w:hAnsi="Calibri" w:cs="Calibri"/>
          <w:color w:val="000000"/>
          <w:sz w:val="24"/>
          <w:szCs w:val="24"/>
        </w:rPr>
        <w:t>However, documents that are lengthy (typically 50 pages or more, but it may vary by court office) or emails that are greater than 10MB need to be treated differently</w:t>
      </w:r>
      <w:r w:rsidR="00C40D65" w:rsidRPr="00CA2C15">
        <w:rPr>
          <w:rFonts w:ascii="Calibri" w:eastAsia="Arial" w:hAnsi="Calibri" w:cs="Calibri"/>
          <w:color w:val="000000"/>
          <w:sz w:val="24"/>
          <w:szCs w:val="24"/>
        </w:rPr>
        <w:t>. For large documents</w:t>
      </w:r>
      <w:r w:rsidRPr="00CA2C15">
        <w:rPr>
          <w:rFonts w:ascii="Calibri" w:eastAsia="Arial" w:hAnsi="Calibri" w:cs="Calibri"/>
          <w:color w:val="000000"/>
          <w:sz w:val="24"/>
          <w:szCs w:val="24"/>
        </w:rPr>
        <w:t xml:space="preserve"> or files</w:t>
      </w:r>
      <w:r w:rsidR="00C40D65" w:rsidRPr="00CA2C15">
        <w:rPr>
          <w:rFonts w:ascii="Calibri" w:eastAsia="Arial" w:hAnsi="Calibri" w:cs="Calibri"/>
          <w:color w:val="000000"/>
          <w:sz w:val="24"/>
          <w:szCs w:val="24"/>
        </w:rPr>
        <w:t xml:space="preserve">, </w:t>
      </w:r>
      <w:r w:rsidR="00B935ED" w:rsidRPr="00CA2C15">
        <w:rPr>
          <w:rFonts w:ascii="Calibri" w:eastAsia="Arial" w:hAnsi="Calibri" w:cs="Calibri"/>
          <w:color w:val="000000"/>
          <w:sz w:val="24"/>
          <w:szCs w:val="24"/>
        </w:rPr>
        <w:t>the Document Upload Centre</w:t>
      </w:r>
      <w:r w:rsidR="00C40D65" w:rsidRPr="00CA2C15">
        <w:rPr>
          <w:rFonts w:ascii="Calibri" w:eastAsia="Arial" w:hAnsi="Calibri" w:cs="Calibri"/>
          <w:color w:val="000000"/>
          <w:sz w:val="24"/>
          <w:szCs w:val="24"/>
        </w:rPr>
        <w:t xml:space="preserve"> </w:t>
      </w:r>
      <w:r w:rsidR="00E8282E" w:rsidRPr="00CA2C15">
        <w:rPr>
          <w:rFonts w:ascii="Calibri" w:eastAsia="Arial" w:hAnsi="Calibri" w:cs="Calibri"/>
          <w:color w:val="000000"/>
          <w:sz w:val="24"/>
          <w:szCs w:val="24"/>
        </w:rPr>
        <w:t xml:space="preserve">or CE-File </w:t>
      </w:r>
      <w:r w:rsidR="00C40D65" w:rsidRPr="00CA2C15">
        <w:rPr>
          <w:rFonts w:ascii="Calibri" w:eastAsia="Arial" w:hAnsi="Calibri" w:cs="Calibri"/>
          <w:color w:val="000000"/>
          <w:sz w:val="24"/>
          <w:szCs w:val="24"/>
        </w:rPr>
        <w:t>should be used</w:t>
      </w:r>
      <w:r w:rsidR="00B935ED" w:rsidRPr="00CA2C15">
        <w:rPr>
          <w:rFonts w:ascii="Calibri" w:eastAsia="Arial" w:hAnsi="Calibri" w:cs="Calibri"/>
          <w:color w:val="000000"/>
          <w:sz w:val="24"/>
          <w:szCs w:val="24"/>
        </w:rPr>
        <w:t>. Any request to upload documents must be made by the professional representative by email to the same email addresses as noted above</w:t>
      </w:r>
      <w:r w:rsidR="00C40D65" w:rsidRPr="00CA2C15">
        <w:rPr>
          <w:rFonts w:ascii="Calibri" w:eastAsia="Arial" w:hAnsi="Calibri" w:cs="Calibri"/>
          <w:color w:val="000000"/>
          <w:sz w:val="24"/>
          <w:szCs w:val="24"/>
        </w:rPr>
        <w:t xml:space="preserve"> for offices outside of London and to</w:t>
      </w:r>
      <w:r w:rsidR="002E3F06" w:rsidRPr="00CA2C15">
        <w:rPr>
          <w:rFonts w:ascii="Calibri" w:eastAsia="Arial" w:hAnsi="Calibri" w:cs="Calibri"/>
          <w:color w:val="000000"/>
          <w:sz w:val="24"/>
          <w:szCs w:val="24"/>
        </w:rPr>
        <w:t xml:space="preserve"> </w:t>
      </w:r>
      <w:hyperlink r:id="rId22" w:history="1">
        <w:r w:rsidR="002E3F06" w:rsidRPr="00CA2C15">
          <w:rPr>
            <w:rStyle w:val="Hyperlink"/>
            <w:rFonts w:ascii="Calibri" w:eastAsia="Arial" w:hAnsi="Calibri" w:cs="Calibri"/>
            <w:sz w:val="24"/>
            <w:szCs w:val="24"/>
          </w:rPr>
          <w:t>DUC@administrativecourtoffice.justice.gov.uk</w:t>
        </w:r>
      </w:hyperlink>
      <w:r w:rsidR="00C40D65" w:rsidRPr="00CA2C15">
        <w:rPr>
          <w:rFonts w:ascii="Calibri" w:eastAsia="Arial" w:hAnsi="Calibri" w:cs="Calibri"/>
          <w:color w:val="000000"/>
          <w:sz w:val="24"/>
          <w:szCs w:val="24"/>
        </w:rPr>
        <w:t xml:space="preserve"> for London</w:t>
      </w:r>
      <w:r w:rsidR="00B935ED" w:rsidRPr="00CA2C15">
        <w:rPr>
          <w:rFonts w:ascii="Calibri" w:eastAsia="Arial" w:hAnsi="Calibri" w:cs="Calibri"/>
          <w:color w:val="000000"/>
          <w:sz w:val="24"/>
          <w:szCs w:val="24"/>
        </w:rPr>
        <w:t>.</w:t>
      </w:r>
      <w:r w:rsidR="00C40D65" w:rsidRPr="00CA2C15">
        <w:rPr>
          <w:rFonts w:ascii="Calibri" w:eastAsia="Arial" w:hAnsi="Calibri" w:cs="Calibri"/>
          <w:color w:val="000000"/>
          <w:sz w:val="24"/>
          <w:szCs w:val="24"/>
        </w:rPr>
        <w:t xml:space="preserve"> </w:t>
      </w:r>
    </w:p>
    <w:p w14:paraId="4A046CCF" w14:textId="480B0F7A" w:rsidR="00B935ED" w:rsidRPr="00CA2C15" w:rsidRDefault="00B935ED" w:rsidP="00AC70E5">
      <w:pPr>
        <w:pStyle w:val="ListParagraph"/>
        <w:numPr>
          <w:ilvl w:val="0"/>
          <w:numId w:val="11"/>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rules for electronic bundles (set out above for </w:t>
      </w:r>
      <w:r w:rsidR="00B2179B"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laimants) apply.</w:t>
      </w:r>
      <w:r w:rsidR="00C40D65" w:rsidRPr="00CA2C15">
        <w:rPr>
          <w:rFonts w:ascii="Calibri" w:eastAsia="Arial" w:hAnsi="Calibri" w:cs="Calibri"/>
          <w:color w:val="000000"/>
          <w:sz w:val="24"/>
          <w:szCs w:val="24"/>
        </w:rPr>
        <w:t xml:space="preserve"> See the Administrative Court Information for Court Users document</w:t>
      </w:r>
      <w:r w:rsidR="00997FFA" w:rsidRPr="00CA2C15">
        <w:rPr>
          <w:rStyle w:val="FootnoteReference"/>
          <w:rFonts w:ascii="Calibri" w:eastAsia="Arial" w:hAnsi="Calibri" w:cs="Calibri"/>
          <w:color w:val="000000"/>
          <w:sz w:val="24"/>
          <w:szCs w:val="24"/>
        </w:rPr>
        <w:footnoteReference w:id="16"/>
      </w:r>
      <w:r w:rsidR="00C40D65" w:rsidRPr="00CA2C15">
        <w:rPr>
          <w:rFonts w:ascii="Calibri" w:eastAsia="Arial" w:hAnsi="Calibri" w:cs="Calibri"/>
          <w:color w:val="000000"/>
          <w:sz w:val="24"/>
          <w:szCs w:val="24"/>
        </w:rPr>
        <w:t xml:space="preserve"> for more information.</w:t>
      </w:r>
    </w:p>
    <w:p w14:paraId="26CF139F" w14:textId="2A94AF10" w:rsidR="00B935ED" w:rsidRPr="00CA2C15" w:rsidRDefault="00B935ED" w:rsidP="00B2179B">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you act for the </w:t>
      </w:r>
      <w:r w:rsidR="00B2179B"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ensure that you comply with the </w:t>
      </w:r>
      <w:r w:rsidR="00073975" w:rsidRPr="00CA2C15">
        <w:rPr>
          <w:rFonts w:ascii="Calibri" w:eastAsia="Arial" w:hAnsi="Calibri" w:cs="Calibri"/>
          <w:color w:val="000000"/>
          <w:sz w:val="24"/>
          <w:szCs w:val="24"/>
        </w:rPr>
        <w:t>21-day</w:t>
      </w:r>
      <w:r w:rsidRPr="00CA2C15">
        <w:rPr>
          <w:rFonts w:ascii="Calibri" w:eastAsia="Arial" w:hAnsi="Calibri" w:cs="Calibri"/>
          <w:color w:val="000000"/>
          <w:sz w:val="24"/>
          <w:szCs w:val="24"/>
        </w:rPr>
        <w:t xml:space="preserve"> (or any </w:t>
      </w:r>
      <w:r w:rsidRPr="00CA2C15">
        <w:rPr>
          <w:rFonts w:ascii="Calibri" w:eastAsia="Times New Roman" w:hAnsi="Calibri" w:cs="Calibri"/>
          <w:sz w:val="24"/>
          <w:szCs w:val="20"/>
          <w:lang w:val="en-GB"/>
        </w:rPr>
        <w:t>shorter</w:t>
      </w:r>
      <w:r w:rsidRPr="00CA2C15">
        <w:rPr>
          <w:rFonts w:ascii="Calibri" w:eastAsia="Arial" w:hAnsi="Calibri" w:cs="Calibri"/>
          <w:color w:val="000000"/>
          <w:sz w:val="24"/>
          <w:szCs w:val="24"/>
        </w:rPr>
        <w:t xml:space="preserve">) deadline. </w:t>
      </w:r>
      <w:r w:rsidR="006F26B3" w:rsidRPr="00CA2C15">
        <w:rPr>
          <w:rFonts w:ascii="Calibri" w:eastAsia="Arial" w:hAnsi="Calibri" w:cs="Calibri"/>
          <w:color w:val="000000"/>
          <w:sz w:val="24"/>
          <w:szCs w:val="24"/>
        </w:rPr>
        <w:t>The AoS (</w:t>
      </w:r>
      <w:r w:rsidRPr="00CA2C15">
        <w:rPr>
          <w:rFonts w:ascii="Calibri" w:eastAsia="Arial" w:hAnsi="Calibri" w:cs="Calibri"/>
          <w:color w:val="000000"/>
          <w:sz w:val="24"/>
          <w:szCs w:val="24"/>
        </w:rPr>
        <w:t>Form N462</w:t>
      </w:r>
      <w:r w:rsidR="006F26B3"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sets out the matters to be addressed. It is quite common for the ‘Summary Grounds of </w:t>
      </w:r>
      <w:r w:rsidR="00AD78E7" w:rsidRPr="00CA2C15">
        <w:rPr>
          <w:rFonts w:ascii="Calibri" w:eastAsia="Arial" w:hAnsi="Calibri" w:cs="Calibri"/>
          <w:color w:val="000000"/>
          <w:sz w:val="24"/>
          <w:szCs w:val="24"/>
        </w:rPr>
        <w:t xml:space="preserve">Defence’ </w:t>
      </w:r>
      <w:r w:rsidRPr="00CA2C15">
        <w:rPr>
          <w:rFonts w:ascii="Calibri" w:eastAsia="Arial" w:hAnsi="Calibri" w:cs="Calibri"/>
          <w:color w:val="000000"/>
          <w:sz w:val="24"/>
          <w:szCs w:val="24"/>
        </w:rPr>
        <w:t xml:space="preserve">to be set out in a separate document, attached to the N462, although you can insert the </w:t>
      </w:r>
      <w:r w:rsidR="00073975" w:rsidRPr="00CA2C15">
        <w:rPr>
          <w:rFonts w:ascii="Calibri" w:eastAsia="Arial" w:hAnsi="Calibri" w:cs="Calibri"/>
          <w:color w:val="000000"/>
          <w:sz w:val="24"/>
          <w:szCs w:val="24"/>
        </w:rPr>
        <w:t>g</w:t>
      </w:r>
      <w:r w:rsidRPr="00CA2C15">
        <w:rPr>
          <w:rFonts w:ascii="Calibri" w:eastAsia="Arial" w:hAnsi="Calibri" w:cs="Calibri"/>
          <w:color w:val="000000"/>
          <w:sz w:val="24"/>
          <w:szCs w:val="24"/>
        </w:rPr>
        <w:t>rounds on the form itself.</w:t>
      </w:r>
    </w:p>
    <w:p w14:paraId="71308D1B" w14:textId="0B54EED3" w:rsidR="00B935ED" w:rsidRPr="00CA2C15" w:rsidRDefault="00B935ED" w:rsidP="00B2179B">
      <w:pPr>
        <w:numPr>
          <w:ilvl w:val="0"/>
          <w:numId w:val="4"/>
        </w:numPr>
        <w:tabs>
          <w:tab w:val="num" w:pos="1430"/>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z w:val="24"/>
          <w:szCs w:val="24"/>
        </w:rPr>
        <w:t>The</w:t>
      </w:r>
      <w:r w:rsidRPr="00CA2C15">
        <w:rPr>
          <w:rFonts w:ascii="Calibri" w:eastAsia="Arial" w:hAnsi="Calibri" w:cs="Calibri"/>
          <w:color w:val="000000"/>
          <w:spacing w:val="-1"/>
          <w:sz w:val="24"/>
          <w:szCs w:val="24"/>
        </w:rPr>
        <w:t xml:space="preserve"> Summary Grounds should identify succinctly any relevant facts. Material matters of factual dispute (if any) should be highlighted. The </w:t>
      </w:r>
      <w:r w:rsidR="00E74DA6" w:rsidRPr="00CA2C15">
        <w:rPr>
          <w:rFonts w:ascii="Calibri" w:eastAsia="Arial" w:hAnsi="Calibri" w:cs="Calibri"/>
          <w:color w:val="000000"/>
          <w:spacing w:val="-1"/>
          <w:sz w:val="24"/>
          <w:szCs w:val="24"/>
        </w:rPr>
        <w:t xml:space="preserve">Summary </w:t>
      </w:r>
      <w:r w:rsidRPr="00CA2C15">
        <w:rPr>
          <w:rFonts w:ascii="Calibri" w:eastAsia="Arial" w:hAnsi="Calibri" w:cs="Calibri"/>
          <w:color w:val="000000"/>
          <w:spacing w:val="-1"/>
          <w:sz w:val="24"/>
          <w:szCs w:val="24"/>
        </w:rPr>
        <w:t xml:space="preserve">Grounds should provide a brief summary of the reasoning underlying the measure in respect of which permission to apply for judicial review is sought unless the defendant gives </w:t>
      </w:r>
      <w:r w:rsidRPr="00CA2C15">
        <w:rPr>
          <w:rFonts w:ascii="Calibri" w:eastAsia="Times New Roman" w:hAnsi="Calibri" w:cs="Calibri"/>
          <w:sz w:val="24"/>
          <w:szCs w:val="20"/>
          <w:lang w:val="en-GB"/>
        </w:rPr>
        <w:t>reasons</w:t>
      </w:r>
      <w:r w:rsidRPr="00CA2C15">
        <w:rPr>
          <w:rFonts w:ascii="Calibri" w:eastAsia="Arial" w:hAnsi="Calibri" w:cs="Calibri"/>
          <w:color w:val="000000"/>
          <w:spacing w:val="-1"/>
          <w:sz w:val="24"/>
          <w:szCs w:val="24"/>
        </w:rPr>
        <w:t xml:space="preserve"> why the application for permission can be determined without that information</w:t>
      </w:r>
      <w:r w:rsidR="00273372" w:rsidRPr="00CA2C15">
        <w:rPr>
          <w:rFonts w:ascii="Calibri" w:eastAsia="Arial" w:hAnsi="Calibri" w:cs="Calibri"/>
          <w:color w:val="000000"/>
          <w:spacing w:val="-1"/>
          <w:sz w:val="24"/>
          <w:szCs w:val="24"/>
        </w:rPr>
        <w:t xml:space="preserve"> (CPR PD 6.2(2))</w:t>
      </w:r>
      <w:r w:rsidRPr="00CA2C15">
        <w:rPr>
          <w:rFonts w:ascii="Calibri" w:eastAsia="Arial" w:hAnsi="Calibri" w:cs="Calibri"/>
          <w:color w:val="000000"/>
          <w:spacing w:val="-1"/>
          <w:sz w:val="24"/>
          <w:szCs w:val="24"/>
        </w:rPr>
        <w:t>.</w:t>
      </w:r>
    </w:p>
    <w:p w14:paraId="6EA2368C" w14:textId="29B79284" w:rsidR="00B935ED" w:rsidRPr="00CA2C15" w:rsidRDefault="00B935ED" w:rsidP="00B2179B">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Pr="00CA2C15">
        <w:rPr>
          <w:rFonts w:ascii="Calibri" w:eastAsia="Times New Roman" w:hAnsi="Calibri" w:cs="Calibri"/>
          <w:sz w:val="24"/>
          <w:szCs w:val="20"/>
          <w:lang w:val="en-GB"/>
        </w:rPr>
        <w:t>Summary</w:t>
      </w:r>
      <w:r w:rsidRPr="00CA2C15">
        <w:rPr>
          <w:rFonts w:ascii="Calibri" w:eastAsia="Arial" w:hAnsi="Calibri" w:cs="Calibri"/>
          <w:color w:val="000000"/>
          <w:sz w:val="24"/>
          <w:szCs w:val="24"/>
        </w:rPr>
        <w:t xml:space="preserve"> Grounds should (again succinctly) explain the legal basis of defendant’s response to the claimant’s case, by reference to relevant facts.</w:t>
      </w:r>
    </w:p>
    <w:p w14:paraId="11986039" w14:textId="1469D968" w:rsidR="00087F77" w:rsidRPr="00CA2C15" w:rsidRDefault="00B935ED" w:rsidP="00B2179B">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Summary Grounds should be as concise as possible. Summary Grounds </w:t>
      </w:r>
      <w:r w:rsidRPr="00CA2C15">
        <w:rPr>
          <w:rFonts w:ascii="Calibri" w:eastAsia="Times New Roman" w:hAnsi="Calibri" w:cs="Calibri"/>
          <w:sz w:val="24"/>
          <w:szCs w:val="20"/>
          <w:lang w:val="en-GB"/>
        </w:rPr>
        <w:t>shall</w:t>
      </w:r>
      <w:r w:rsidRPr="00CA2C15">
        <w:rPr>
          <w:rFonts w:ascii="Calibri" w:eastAsia="Arial" w:hAnsi="Calibri" w:cs="Calibri"/>
          <w:color w:val="000000"/>
          <w:sz w:val="24"/>
          <w:szCs w:val="24"/>
        </w:rPr>
        <w:t xml:space="preserve"> not exceed 30 pages. In many cases the court will expect the Summary Grounds to be significantly shorter. The court may grant permission to exceed the 30-page limit</w:t>
      </w:r>
      <w:r w:rsidR="00486068" w:rsidRPr="00CA2C15">
        <w:rPr>
          <w:rFonts w:ascii="Calibri" w:eastAsia="Arial" w:hAnsi="Calibri" w:cs="Calibri"/>
          <w:color w:val="000000"/>
          <w:sz w:val="24"/>
          <w:szCs w:val="24"/>
        </w:rPr>
        <w:t xml:space="preserve"> following </w:t>
      </w:r>
      <w:r w:rsidR="00B173C1" w:rsidRPr="00CA2C15">
        <w:rPr>
          <w:rFonts w:ascii="Calibri" w:eastAsia="Arial" w:hAnsi="Calibri" w:cs="Calibri"/>
          <w:color w:val="000000"/>
          <w:sz w:val="24"/>
          <w:szCs w:val="24"/>
        </w:rPr>
        <w:t>an application made before the document is filed or at the latest on filing</w:t>
      </w:r>
      <w:r w:rsidRPr="00CA2C15">
        <w:rPr>
          <w:rFonts w:ascii="Calibri" w:eastAsia="Arial" w:hAnsi="Calibri" w:cs="Calibri"/>
          <w:color w:val="000000"/>
          <w:sz w:val="24"/>
          <w:szCs w:val="24"/>
        </w:rPr>
        <w:t>.</w:t>
      </w:r>
    </w:p>
    <w:p w14:paraId="6816B3DD" w14:textId="0B43BBEB" w:rsidR="00CC0AD6" w:rsidRPr="00CA2C15" w:rsidRDefault="00FD37A9" w:rsidP="003C798E">
      <w:pPr>
        <w:pStyle w:val="ListParagraph"/>
        <w:numPr>
          <w:ilvl w:val="0"/>
          <w:numId w:val="4"/>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pacing w:val="-1"/>
          <w:sz w:val="24"/>
          <w:szCs w:val="24"/>
        </w:rPr>
        <w:t xml:space="preserve">Summary </w:t>
      </w:r>
      <w:r w:rsidR="003C798E" w:rsidRPr="00CA2C15">
        <w:rPr>
          <w:rFonts w:ascii="Calibri" w:eastAsia="Arial" w:hAnsi="Calibri" w:cs="Calibri"/>
          <w:color w:val="000000"/>
          <w:spacing w:val="-1"/>
          <w:sz w:val="24"/>
          <w:szCs w:val="24"/>
        </w:rPr>
        <w:t>Grounds</w:t>
      </w:r>
      <w:r w:rsidRPr="00CA2C15">
        <w:rPr>
          <w:rFonts w:ascii="Calibri" w:eastAsia="Arial" w:hAnsi="Calibri" w:cs="Calibri"/>
          <w:color w:val="000000"/>
          <w:spacing w:val="-1"/>
          <w:sz w:val="24"/>
          <w:szCs w:val="24"/>
        </w:rPr>
        <w:t xml:space="preserve"> should h</w:t>
      </w:r>
      <w:r w:rsidR="00B935ED" w:rsidRPr="00CA2C15">
        <w:rPr>
          <w:rFonts w:ascii="Calibri" w:eastAsia="Arial" w:hAnsi="Calibri" w:cs="Calibri"/>
          <w:color w:val="000000"/>
          <w:spacing w:val="-1"/>
          <w:sz w:val="24"/>
          <w:szCs w:val="24"/>
        </w:rPr>
        <w:t xml:space="preserve">ighlight any procedural flaws, including any delay by the </w:t>
      </w:r>
      <w:r w:rsidR="003C798E" w:rsidRPr="00CA2C15">
        <w:rPr>
          <w:rFonts w:ascii="Calibri" w:eastAsia="Arial" w:hAnsi="Calibri" w:cs="Calibri"/>
          <w:color w:val="000000"/>
          <w:spacing w:val="-1"/>
          <w:sz w:val="24"/>
          <w:szCs w:val="24"/>
        </w:rPr>
        <w:t>c</w:t>
      </w:r>
      <w:r w:rsidR="00B935ED" w:rsidRPr="00CA2C15">
        <w:rPr>
          <w:rFonts w:ascii="Calibri" w:eastAsia="Arial" w:hAnsi="Calibri" w:cs="Calibri"/>
          <w:color w:val="000000"/>
          <w:spacing w:val="-1"/>
          <w:sz w:val="24"/>
          <w:szCs w:val="24"/>
        </w:rPr>
        <w:t xml:space="preserve">laimant, which means that permission should be refused. On substantive issues, set out in summary form why the claim is not arguable. Depending on the case, this may focus on the facts or the legal position. You are trying to persuade the </w:t>
      </w:r>
      <w:r w:rsidR="00185A1F" w:rsidRPr="00CA2C15">
        <w:rPr>
          <w:rFonts w:ascii="Calibri" w:eastAsia="Arial" w:hAnsi="Calibri" w:cs="Calibri"/>
          <w:color w:val="000000"/>
          <w:spacing w:val="-1"/>
          <w:sz w:val="24"/>
          <w:szCs w:val="24"/>
        </w:rPr>
        <w:t>j</w:t>
      </w:r>
      <w:r w:rsidR="00B935ED" w:rsidRPr="00CA2C15">
        <w:rPr>
          <w:rFonts w:ascii="Calibri" w:eastAsia="Arial" w:hAnsi="Calibri" w:cs="Calibri"/>
          <w:color w:val="000000"/>
          <w:spacing w:val="-1"/>
          <w:sz w:val="24"/>
          <w:szCs w:val="24"/>
        </w:rPr>
        <w:t xml:space="preserve">udge considering permission that you have a “knock-out blow” and that the claim should not proceed any further. You may also wish to highlight any alternative remedies available to the </w:t>
      </w:r>
      <w:r w:rsidR="003E7FC0" w:rsidRPr="00CA2C15">
        <w:rPr>
          <w:rFonts w:ascii="Calibri" w:eastAsia="Arial" w:hAnsi="Calibri" w:cs="Calibri"/>
          <w:color w:val="000000"/>
          <w:spacing w:val="-1"/>
          <w:sz w:val="24"/>
          <w:szCs w:val="24"/>
        </w:rPr>
        <w:t>c</w:t>
      </w:r>
      <w:r w:rsidR="00B935ED" w:rsidRPr="00CA2C15">
        <w:rPr>
          <w:rFonts w:ascii="Calibri" w:eastAsia="Arial" w:hAnsi="Calibri" w:cs="Calibri"/>
          <w:color w:val="000000"/>
          <w:spacing w:val="-1"/>
          <w:sz w:val="24"/>
          <w:szCs w:val="24"/>
        </w:rPr>
        <w:t xml:space="preserve">laimant which </w:t>
      </w:r>
      <w:r w:rsidR="00185A1F" w:rsidRPr="00CA2C15">
        <w:rPr>
          <w:rFonts w:ascii="Calibri" w:eastAsia="Arial" w:hAnsi="Calibri" w:cs="Calibri"/>
          <w:color w:val="000000"/>
          <w:spacing w:val="-1"/>
          <w:sz w:val="24"/>
          <w:szCs w:val="24"/>
        </w:rPr>
        <w:t>they have</w:t>
      </w:r>
      <w:r w:rsidR="00B935ED" w:rsidRPr="00CA2C15">
        <w:rPr>
          <w:rFonts w:ascii="Calibri" w:eastAsia="Arial" w:hAnsi="Calibri" w:cs="Calibri"/>
          <w:color w:val="000000"/>
          <w:spacing w:val="-1"/>
          <w:sz w:val="24"/>
          <w:szCs w:val="24"/>
        </w:rPr>
        <w:t xml:space="preserve"> not used. Also it is important for both </w:t>
      </w:r>
      <w:r w:rsidR="003E7FC0" w:rsidRPr="00CA2C15">
        <w:rPr>
          <w:rFonts w:ascii="Calibri" w:eastAsia="Arial" w:hAnsi="Calibri" w:cs="Calibri"/>
          <w:color w:val="000000"/>
          <w:spacing w:val="-1"/>
          <w:sz w:val="24"/>
          <w:szCs w:val="24"/>
        </w:rPr>
        <w:t>d</w:t>
      </w:r>
      <w:r w:rsidR="00B935ED" w:rsidRPr="00CA2C15">
        <w:rPr>
          <w:rFonts w:ascii="Calibri" w:eastAsia="Arial" w:hAnsi="Calibri" w:cs="Calibri"/>
          <w:color w:val="000000"/>
          <w:spacing w:val="-1"/>
          <w:sz w:val="24"/>
          <w:szCs w:val="24"/>
        </w:rPr>
        <w:t xml:space="preserve">efendants and </w:t>
      </w:r>
      <w:r w:rsidR="003E7FC0" w:rsidRPr="00CA2C15">
        <w:rPr>
          <w:rFonts w:ascii="Calibri" w:eastAsia="Arial" w:hAnsi="Calibri" w:cs="Calibri"/>
          <w:color w:val="000000"/>
          <w:spacing w:val="-1"/>
          <w:sz w:val="24"/>
          <w:szCs w:val="24"/>
        </w:rPr>
        <w:t>c</w:t>
      </w:r>
      <w:r w:rsidR="00B935ED" w:rsidRPr="00CA2C15">
        <w:rPr>
          <w:rFonts w:ascii="Calibri" w:eastAsia="Arial" w:hAnsi="Calibri" w:cs="Calibri"/>
          <w:color w:val="000000"/>
          <w:spacing w:val="-1"/>
          <w:sz w:val="24"/>
          <w:szCs w:val="24"/>
        </w:rPr>
        <w:t xml:space="preserve">laimants to note that, where the </w:t>
      </w:r>
      <w:r w:rsidR="003E7FC0" w:rsidRPr="00CA2C15">
        <w:rPr>
          <w:rFonts w:ascii="Calibri" w:eastAsia="Arial" w:hAnsi="Calibri" w:cs="Calibri"/>
          <w:color w:val="000000"/>
          <w:spacing w:val="-1"/>
          <w:sz w:val="24"/>
          <w:szCs w:val="24"/>
        </w:rPr>
        <w:t>d</w:t>
      </w:r>
      <w:r w:rsidR="00B935ED" w:rsidRPr="00CA2C15">
        <w:rPr>
          <w:rFonts w:ascii="Calibri" w:eastAsia="Arial" w:hAnsi="Calibri" w:cs="Calibri"/>
          <w:color w:val="000000"/>
          <w:spacing w:val="-1"/>
          <w:sz w:val="24"/>
          <w:szCs w:val="24"/>
        </w:rPr>
        <w:t>efendant asks it to do so (in which case, a summary of the grounds for this application must be included in the A</w:t>
      </w:r>
      <w:r w:rsidR="00B141E5" w:rsidRPr="00CA2C15">
        <w:rPr>
          <w:rFonts w:ascii="Calibri" w:eastAsia="Arial" w:hAnsi="Calibri" w:cs="Calibri"/>
          <w:color w:val="000000"/>
          <w:spacing w:val="-1"/>
          <w:sz w:val="24"/>
          <w:szCs w:val="24"/>
        </w:rPr>
        <w:t>oS</w:t>
      </w:r>
      <w:r w:rsidR="00B935ED" w:rsidRPr="00CA2C15">
        <w:rPr>
          <w:rFonts w:ascii="Calibri" w:eastAsia="Arial" w:hAnsi="Calibri" w:cs="Calibri"/>
          <w:color w:val="000000"/>
          <w:spacing w:val="-1"/>
          <w:sz w:val="24"/>
          <w:szCs w:val="24"/>
        </w:rPr>
        <w:t>), the court</w:t>
      </w:r>
      <w:r w:rsidR="00D760B4" w:rsidRPr="00CA2C15">
        <w:rPr>
          <w:rFonts w:ascii="Calibri" w:eastAsia="Arial" w:hAnsi="Calibri" w:cs="Calibri"/>
          <w:color w:val="000000"/>
          <w:spacing w:val="-1"/>
          <w:sz w:val="24"/>
          <w:szCs w:val="24"/>
        </w:rPr>
        <w:t>,</w:t>
      </w:r>
      <w:r w:rsidR="00B935ED" w:rsidRPr="00CA2C15">
        <w:rPr>
          <w:rFonts w:ascii="Calibri" w:eastAsia="Arial" w:hAnsi="Calibri" w:cs="Calibri"/>
          <w:color w:val="000000"/>
          <w:spacing w:val="-1"/>
          <w:sz w:val="24"/>
          <w:szCs w:val="24"/>
        </w:rPr>
        <w:t xml:space="preserve"> when considering whether to grant</w:t>
      </w:r>
      <w:r w:rsidR="00BF3C7E" w:rsidRPr="00CA2C15">
        <w:rPr>
          <w:rFonts w:ascii="Calibri" w:eastAsia="Arial" w:hAnsi="Calibri" w:cs="Calibri"/>
          <w:color w:val="000000"/>
          <w:spacing w:val="-1"/>
          <w:sz w:val="24"/>
          <w:szCs w:val="24"/>
        </w:rPr>
        <w:t xml:space="preserve"> </w:t>
      </w:r>
      <w:r w:rsidR="00B935ED" w:rsidRPr="00CA2C15">
        <w:rPr>
          <w:rFonts w:ascii="Calibri" w:eastAsia="Arial" w:hAnsi="Calibri" w:cs="Calibri"/>
          <w:color w:val="000000"/>
          <w:spacing w:val="-1"/>
          <w:sz w:val="24"/>
          <w:szCs w:val="24"/>
        </w:rPr>
        <w:t>permission</w:t>
      </w:r>
      <w:r w:rsidR="00D760B4" w:rsidRPr="00CA2C15">
        <w:rPr>
          <w:rFonts w:ascii="Calibri" w:eastAsia="Arial" w:hAnsi="Calibri" w:cs="Calibri"/>
          <w:color w:val="000000"/>
          <w:spacing w:val="-1"/>
          <w:sz w:val="24"/>
          <w:szCs w:val="24"/>
        </w:rPr>
        <w:t>,</w:t>
      </w:r>
      <w:r w:rsidR="00B935ED" w:rsidRPr="00CA2C15">
        <w:rPr>
          <w:rFonts w:ascii="Calibri" w:eastAsia="Arial" w:hAnsi="Calibri" w:cs="Calibri"/>
          <w:color w:val="000000"/>
          <w:spacing w:val="-1"/>
          <w:sz w:val="24"/>
          <w:szCs w:val="24"/>
        </w:rPr>
        <w:t xml:space="preserve"> must consider whether it is highly likely that the outcome for the </w:t>
      </w:r>
      <w:r w:rsidR="003E7FC0" w:rsidRPr="00CA2C15">
        <w:rPr>
          <w:rFonts w:ascii="Calibri" w:eastAsia="Arial" w:hAnsi="Calibri" w:cs="Calibri"/>
          <w:color w:val="000000"/>
          <w:spacing w:val="-1"/>
          <w:sz w:val="24"/>
          <w:szCs w:val="24"/>
        </w:rPr>
        <w:t>c</w:t>
      </w:r>
      <w:r w:rsidR="00B141E5" w:rsidRPr="00CA2C15">
        <w:rPr>
          <w:rFonts w:ascii="Calibri" w:eastAsia="Arial" w:hAnsi="Calibri" w:cs="Calibri"/>
          <w:color w:val="000000"/>
          <w:spacing w:val="-1"/>
          <w:sz w:val="24"/>
          <w:szCs w:val="24"/>
        </w:rPr>
        <w:t xml:space="preserve">laimant </w:t>
      </w:r>
      <w:r w:rsidR="00B935ED" w:rsidRPr="00CA2C15">
        <w:rPr>
          <w:rFonts w:ascii="Calibri" w:eastAsia="Arial" w:hAnsi="Calibri" w:cs="Calibri"/>
          <w:color w:val="000000"/>
          <w:spacing w:val="-1"/>
          <w:sz w:val="24"/>
          <w:szCs w:val="24"/>
        </w:rPr>
        <w:t xml:space="preserve">would not have been substantially different if the conduct complained of had not occurred </w:t>
      </w:r>
      <w:r w:rsidR="000B386F" w:rsidRPr="00CA2C15">
        <w:rPr>
          <w:rFonts w:ascii="Calibri" w:eastAsia="Arial" w:hAnsi="Calibri" w:cs="Calibri"/>
          <w:color w:val="000000"/>
          <w:spacing w:val="-1"/>
          <w:sz w:val="24"/>
          <w:szCs w:val="24"/>
        </w:rPr>
        <w:t>(</w:t>
      </w:r>
      <w:r w:rsidR="00B935ED" w:rsidRPr="00CA2C15">
        <w:rPr>
          <w:rFonts w:ascii="Calibri" w:eastAsia="Arial" w:hAnsi="Calibri" w:cs="Calibri"/>
          <w:color w:val="000000"/>
          <w:spacing w:val="-1"/>
          <w:sz w:val="24"/>
          <w:szCs w:val="24"/>
        </w:rPr>
        <w:t>unless it considers there are reasons of exceptional public interest</w:t>
      </w:r>
      <w:r w:rsidR="000B386F" w:rsidRPr="00CA2C15">
        <w:rPr>
          <w:rFonts w:ascii="Calibri" w:eastAsia="Arial" w:hAnsi="Calibri" w:cs="Calibri"/>
          <w:color w:val="000000"/>
          <w:spacing w:val="-1"/>
          <w:sz w:val="24"/>
          <w:szCs w:val="24"/>
        </w:rPr>
        <w:t>)</w:t>
      </w:r>
      <w:r w:rsidR="00B935ED" w:rsidRPr="00CA2C15">
        <w:rPr>
          <w:rFonts w:ascii="Calibri" w:eastAsia="Arial" w:hAnsi="Calibri" w:cs="Calibri"/>
          <w:color w:val="000000"/>
          <w:spacing w:val="-1"/>
          <w:sz w:val="24"/>
          <w:szCs w:val="24"/>
        </w:rPr>
        <w:t>. The court may also consider that question of its own volition.</w:t>
      </w:r>
    </w:p>
    <w:p w14:paraId="0266E84C" w14:textId="790C4ECA" w:rsidR="00795FDF" w:rsidRPr="00CA2C15" w:rsidRDefault="00795FDF" w:rsidP="003E7FC0">
      <w:pPr>
        <w:numPr>
          <w:ilvl w:val="0"/>
          <w:numId w:val="4"/>
        </w:numPr>
        <w:tabs>
          <w:tab w:val="num" w:pos="1430"/>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z w:val="24"/>
          <w:szCs w:val="24"/>
        </w:rPr>
        <w:t>CPR 54.8</w:t>
      </w:r>
      <w:r w:rsidR="00257435" w:rsidRPr="00CA2C15">
        <w:rPr>
          <w:rFonts w:ascii="Calibri" w:eastAsia="Arial" w:hAnsi="Calibri" w:cs="Calibri"/>
          <w:color w:val="000000"/>
          <w:sz w:val="24"/>
          <w:szCs w:val="24"/>
        </w:rPr>
        <w:t>(3)</w:t>
      </w:r>
      <w:r w:rsidRPr="00CA2C15">
        <w:rPr>
          <w:rFonts w:ascii="Calibri" w:eastAsia="Arial" w:hAnsi="Calibri" w:cs="Calibri"/>
          <w:color w:val="000000"/>
          <w:sz w:val="24"/>
          <w:szCs w:val="24"/>
        </w:rPr>
        <w:t xml:space="preserve"> makes clear that time limits for the AoS may not be extended by agreement between the parties, and so should the defendant require more time, </w:t>
      </w:r>
      <w:r w:rsidR="000B386F" w:rsidRPr="00CA2C15">
        <w:rPr>
          <w:rFonts w:ascii="Calibri" w:eastAsia="Times New Roman" w:hAnsi="Calibri" w:cs="Calibri"/>
          <w:sz w:val="24"/>
          <w:szCs w:val="20"/>
          <w:lang w:val="en-GB"/>
        </w:rPr>
        <w:t>it</w:t>
      </w:r>
      <w:r w:rsidR="000B386F"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should apply to the </w:t>
      </w:r>
      <w:r w:rsidR="00EE5C7F"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for an order granting an extension. Often a defendant may seek the agreement of the claimant prior to making this application and/or the </w:t>
      </w:r>
      <w:r w:rsidR="00EE5C7F"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may ask the claimant to provide </w:t>
      </w:r>
      <w:r w:rsidR="0029215A" w:rsidRPr="00CA2C15">
        <w:rPr>
          <w:rFonts w:ascii="Calibri" w:eastAsia="Arial" w:hAnsi="Calibri" w:cs="Calibri"/>
          <w:color w:val="000000"/>
          <w:sz w:val="24"/>
          <w:szCs w:val="24"/>
        </w:rPr>
        <w:t xml:space="preserve">their </w:t>
      </w:r>
      <w:r w:rsidRPr="00CA2C15">
        <w:rPr>
          <w:rFonts w:ascii="Calibri" w:eastAsia="Arial" w:hAnsi="Calibri" w:cs="Calibri"/>
          <w:color w:val="000000"/>
          <w:sz w:val="24"/>
          <w:szCs w:val="24"/>
        </w:rPr>
        <w:t>views on whether the application should be granted.</w:t>
      </w:r>
    </w:p>
    <w:p w14:paraId="1AC39AC8" w14:textId="6B9D3F76" w:rsidR="00B935ED" w:rsidRPr="00CA2C15" w:rsidRDefault="00B935ED" w:rsidP="003E7FC0">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you act for the </w:t>
      </w:r>
      <w:r w:rsidR="000B386F"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diarise these dates to keep track of a number of </w:t>
      </w:r>
      <w:r w:rsidRPr="00CA2C15">
        <w:rPr>
          <w:rFonts w:ascii="Calibri" w:eastAsia="Times New Roman" w:hAnsi="Calibri" w:cs="Calibri"/>
          <w:sz w:val="24"/>
          <w:szCs w:val="20"/>
          <w:lang w:val="en-GB"/>
        </w:rPr>
        <w:t>issues</w:t>
      </w:r>
      <w:r w:rsidRPr="00CA2C15">
        <w:rPr>
          <w:rFonts w:ascii="Calibri" w:eastAsia="Arial" w:hAnsi="Calibri" w:cs="Calibri"/>
          <w:color w:val="000000"/>
          <w:sz w:val="24"/>
          <w:szCs w:val="24"/>
        </w:rPr>
        <w:t>:</w:t>
      </w:r>
    </w:p>
    <w:p w14:paraId="5D15B4E9" w14:textId="6837A0FA" w:rsidR="00B935ED" w:rsidRPr="00CA2C15" w:rsidRDefault="00B935ED" w:rsidP="004916C0">
      <w:pPr>
        <w:pStyle w:val="ListParagraph"/>
        <w:numPr>
          <w:ilvl w:val="0"/>
          <w:numId w:val="11"/>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Has the </w:t>
      </w:r>
      <w:r w:rsidR="00712936"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actually filed anything?</w:t>
      </w:r>
    </w:p>
    <w:p w14:paraId="24CA28B6" w14:textId="77777777" w:rsidR="00B935ED" w:rsidRPr="00CA2C15" w:rsidRDefault="00B935ED" w:rsidP="004916C0">
      <w:pPr>
        <w:pStyle w:val="ListParagraph"/>
        <w:numPr>
          <w:ilvl w:val="0"/>
          <w:numId w:val="11"/>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Have they filed it, but not served it on you?</w:t>
      </w:r>
    </w:p>
    <w:p w14:paraId="2F4A13EB" w14:textId="439C90EE" w:rsidR="00087F77" w:rsidRPr="00CA2C15" w:rsidRDefault="00B935ED" w:rsidP="004916C0">
      <w:pPr>
        <w:pStyle w:val="ListParagraph"/>
        <w:numPr>
          <w:ilvl w:val="0"/>
          <w:numId w:val="11"/>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Do you want to reply?</w:t>
      </w:r>
      <w:r w:rsidR="0006754B" w:rsidRPr="00CA2C15">
        <w:rPr>
          <w:rFonts w:ascii="Calibri" w:eastAsia="Arial" w:hAnsi="Calibri" w:cs="Calibri"/>
          <w:color w:val="000000"/>
          <w:sz w:val="24"/>
          <w:szCs w:val="24"/>
        </w:rPr>
        <w:t xml:space="preserve"> If so, diarise the deadline.</w:t>
      </w:r>
    </w:p>
    <w:p w14:paraId="3BD654B5" w14:textId="79B852B6" w:rsidR="00C82207" w:rsidRPr="00CA2C15" w:rsidRDefault="00C82207" w:rsidP="00087F77">
      <w:pPr>
        <w:spacing w:after="240" w:line="360" w:lineRule="auto"/>
        <w:ind w:left="720"/>
        <w:jc w:val="both"/>
        <w:rPr>
          <w:rFonts w:ascii="Calibri" w:eastAsia="Arial" w:hAnsi="Calibri" w:cs="Calibri"/>
          <w:b/>
          <w:bCs/>
          <w:color w:val="000000"/>
          <w:sz w:val="24"/>
          <w:szCs w:val="24"/>
        </w:rPr>
      </w:pPr>
      <w:r w:rsidRPr="00CA2C15">
        <w:rPr>
          <w:rFonts w:ascii="Calibri" w:eastAsia="Arial" w:hAnsi="Calibri" w:cs="Calibri"/>
          <w:b/>
          <w:bCs/>
          <w:color w:val="000000"/>
          <w:sz w:val="24"/>
          <w:szCs w:val="24"/>
        </w:rPr>
        <w:t>Repl</w:t>
      </w:r>
      <w:r w:rsidR="00CC0AD6" w:rsidRPr="00CA2C15">
        <w:rPr>
          <w:rFonts w:ascii="Calibri" w:eastAsia="Arial" w:hAnsi="Calibri" w:cs="Calibri"/>
          <w:b/>
          <w:bCs/>
          <w:color w:val="000000"/>
          <w:sz w:val="24"/>
          <w:szCs w:val="24"/>
        </w:rPr>
        <w:t>y</w:t>
      </w:r>
    </w:p>
    <w:p w14:paraId="7F5565B5" w14:textId="78009D53" w:rsidR="00C82207" w:rsidRPr="00CA2C15" w:rsidRDefault="00CC0AD6" w:rsidP="0006754B">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Pursuant to CPR 54.8A, the </w:t>
      </w:r>
      <w:r w:rsidR="0006754B"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has a formal right of reply to the </w:t>
      </w:r>
      <w:r w:rsidR="0006754B" w:rsidRPr="00CA2C15">
        <w:rPr>
          <w:rFonts w:ascii="Calibri" w:eastAsia="Times New Roman" w:hAnsi="Calibri" w:cs="Calibri"/>
          <w:sz w:val="24"/>
          <w:szCs w:val="20"/>
          <w:lang w:val="en-GB"/>
        </w:rPr>
        <w:t>d</w:t>
      </w:r>
      <w:r w:rsidRPr="00CA2C15">
        <w:rPr>
          <w:rFonts w:ascii="Calibri" w:eastAsia="Times New Roman" w:hAnsi="Calibri" w:cs="Calibri"/>
          <w:sz w:val="24"/>
          <w:szCs w:val="20"/>
          <w:lang w:val="en-GB"/>
        </w:rPr>
        <w:t>efendant’s</w:t>
      </w:r>
      <w:r w:rsidRPr="00CA2C15">
        <w:rPr>
          <w:rFonts w:ascii="Calibri" w:eastAsia="Arial" w:hAnsi="Calibri" w:cs="Calibri"/>
          <w:color w:val="000000"/>
          <w:sz w:val="24"/>
          <w:szCs w:val="24"/>
        </w:rPr>
        <w:t xml:space="preserve"> A</w:t>
      </w:r>
      <w:r w:rsidR="00AD78E7" w:rsidRPr="00CA2C15">
        <w:rPr>
          <w:rFonts w:ascii="Calibri" w:eastAsia="Arial" w:hAnsi="Calibri" w:cs="Calibri"/>
          <w:color w:val="000000"/>
          <w:sz w:val="24"/>
          <w:szCs w:val="24"/>
        </w:rPr>
        <w:t>o</w:t>
      </w:r>
      <w:r w:rsidR="0075323E" w:rsidRPr="00CA2C15">
        <w:rPr>
          <w:rFonts w:ascii="Calibri" w:eastAsia="Arial" w:hAnsi="Calibri" w:cs="Calibri"/>
          <w:color w:val="000000"/>
          <w:sz w:val="24"/>
          <w:szCs w:val="24"/>
        </w:rPr>
        <w:t>S</w:t>
      </w:r>
      <w:r w:rsidR="00AD78E7"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and Summary Ground</w:t>
      </w:r>
      <w:r w:rsidR="00582FE7" w:rsidRPr="00CA2C15">
        <w:rPr>
          <w:rFonts w:ascii="Calibri" w:eastAsia="Arial" w:hAnsi="Calibri" w:cs="Calibri"/>
          <w:color w:val="000000"/>
          <w:sz w:val="24"/>
          <w:szCs w:val="24"/>
        </w:rPr>
        <w:t>s</w:t>
      </w:r>
      <w:r w:rsidRPr="00CA2C15">
        <w:rPr>
          <w:rFonts w:ascii="Calibri" w:eastAsia="Arial" w:hAnsi="Calibri" w:cs="Calibri"/>
          <w:color w:val="000000"/>
          <w:sz w:val="24"/>
          <w:szCs w:val="24"/>
        </w:rPr>
        <w:t xml:space="preserve"> of Defence. Any reply must be filed not more than 7 days after service of the A</w:t>
      </w:r>
      <w:r w:rsidR="0071460A" w:rsidRPr="00CA2C15">
        <w:rPr>
          <w:rFonts w:ascii="Calibri" w:eastAsia="Arial" w:hAnsi="Calibri" w:cs="Calibri"/>
          <w:color w:val="000000"/>
          <w:sz w:val="24"/>
          <w:szCs w:val="24"/>
        </w:rPr>
        <w:t>oS</w:t>
      </w:r>
      <w:r w:rsidRPr="00CA2C15">
        <w:rPr>
          <w:rFonts w:ascii="Calibri" w:eastAsia="Arial" w:hAnsi="Calibri" w:cs="Calibri"/>
          <w:color w:val="000000"/>
          <w:sz w:val="24"/>
          <w:szCs w:val="24"/>
        </w:rPr>
        <w:t xml:space="preserve">, </w:t>
      </w:r>
      <w:r w:rsidR="0071460A" w:rsidRPr="00CA2C15">
        <w:rPr>
          <w:rFonts w:ascii="Calibri" w:eastAsia="Arial" w:hAnsi="Calibri" w:cs="Calibri"/>
          <w:color w:val="000000"/>
          <w:sz w:val="24"/>
          <w:szCs w:val="24"/>
        </w:rPr>
        <w:t xml:space="preserve">then </w:t>
      </w:r>
      <w:r w:rsidRPr="00CA2C15">
        <w:rPr>
          <w:rFonts w:ascii="Calibri" w:eastAsia="Arial" w:hAnsi="Calibri" w:cs="Calibri"/>
          <w:color w:val="000000"/>
          <w:sz w:val="24"/>
          <w:szCs w:val="24"/>
        </w:rPr>
        <w:t xml:space="preserve">served on the </w:t>
      </w:r>
      <w:r w:rsidR="00582FE7"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and any person served with the claim form as soon as practicable and in any event not later than 7 days after it is filed.</w:t>
      </w:r>
    </w:p>
    <w:p w14:paraId="359A0036" w14:textId="4AA07C20" w:rsidR="00795FDF" w:rsidRPr="00CA2C15" w:rsidRDefault="00CC0AD6" w:rsidP="0006754B">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Whether or not to take the opportunity of filing a Reply is an important tactical decision, particularly when you have not had a response to the </w:t>
      </w:r>
      <w:r w:rsidR="00D57983" w:rsidRPr="00CA2C15">
        <w:rPr>
          <w:rFonts w:ascii="Calibri" w:eastAsia="Arial" w:hAnsi="Calibri" w:cs="Calibri"/>
          <w:color w:val="000000"/>
          <w:sz w:val="24"/>
          <w:szCs w:val="24"/>
        </w:rPr>
        <w:t xml:space="preserve">pre-action </w:t>
      </w:r>
      <w:r w:rsidRPr="00CA2C15">
        <w:rPr>
          <w:rFonts w:ascii="Calibri" w:eastAsia="Arial" w:hAnsi="Calibri" w:cs="Calibri"/>
          <w:color w:val="000000"/>
          <w:sz w:val="24"/>
          <w:szCs w:val="24"/>
        </w:rPr>
        <w:t xml:space="preserve">letter before claim. This might be the first opportunity for you to see the </w:t>
      </w:r>
      <w:r w:rsidR="00BD1579"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efendant’s case, or they may have added in extra reasons or evidence since you served proceedings on them. As the permission decision (see below) is initially made on the papers (in most cases), it can be essential to respond to any ‘killer blow</w:t>
      </w:r>
      <w:r w:rsidR="006E783D" w:rsidRPr="00CA2C15">
        <w:rPr>
          <w:rFonts w:ascii="Calibri" w:eastAsia="Arial" w:hAnsi="Calibri" w:cs="Calibri"/>
          <w:color w:val="000000"/>
          <w:sz w:val="24"/>
          <w:szCs w:val="24"/>
        </w:rPr>
        <w:t>s</w:t>
      </w:r>
      <w:r w:rsidRPr="00CA2C15">
        <w:rPr>
          <w:rFonts w:ascii="Calibri" w:eastAsia="Arial" w:hAnsi="Calibri" w:cs="Calibri"/>
          <w:color w:val="000000"/>
          <w:sz w:val="24"/>
          <w:szCs w:val="24"/>
        </w:rPr>
        <w:t>’ in the AoS</w:t>
      </w:r>
      <w:r w:rsidR="00795FDF" w:rsidRPr="00CA2C15">
        <w:rPr>
          <w:rFonts w:ascii="Calibri" w:eastAsia="Arial" w:hAnsi="Calibri" w:cs="Calibri"/>
          <w:color w:val="000000"/>
          <w:sz w:val="24"/>
          <w:szCs w:val="24"/>
        </w:rPr>
        <w:t>.</w:t>
      </w:r>
    </w:p>
    <w:p w14:paraId="3BB94885" w14:textId="5AF7A78A" w:rsidR="00B935ED" w:rsidRPr="00CA2C15" w:rsidRDefault="00E177FE" w:rsidP="008E179D">
      <w:pPr>
        <w:tabs>
          <w:tab w:val="left" w:pos="216"/>
          <w:tab w:val="left" w:pos="288"/>
        </w:tabs>
        <w:spacing w:after="240" w:line="360" w:lineRule="auto"/>
        <w:ind w:left="357"/>
        <w:jc w:val="both"/>
        <w:textAlignment w:val="baseline"/>
        <w:rPr>
          <w:rFonts w:ascii="Calibri" w:eastAsia="Arial" w:hAnsi="Calibri" w:cs="Calibri"/>
          <w:color w:val="000000"/>
          <w:sz w:val="24"/>
          <w:szCs w:val="24"/>
        </w:rPr>
      </w:pPr>
      <w:r w:rsidRPr="00CA2C15">
        <w:rPr>
          <w:rFonts w:ascii="Calibri" w:eastAsia="Arial" w:hAnsi="Calibri" w:cs="Calibri"/>
          <w:b/>
          <w:color w:val="000000"/>
          <w:spacing w:val="-1"/>
          <w:sz w:val="24"/>
          <w:szCs w:val="24"/>
        </w:rPr>
        <w:tab/>
      </w:r>
      <w:r w:rsidR="00B935ED" w:rsidRPr="00CA2C15">
        <w:rPr>
          <w:rFonts w:ascii="Calibri" w:eastAsia="Arial" w:hAnsi="Calibri" w:cs="Calibri"/>
          <w:b/>
          <w:color w:val="000000"/>
          <w:spacing w:val="-1"/>
          <w:sz w:val="24"/>
          <w:szCs w:val="24"/>
          <w:u w:val="single"/>
        </w:rPr>
        <w:t>URGENT CASES</w:t>
      </w:r>
    </w:p>
    <w:p w14:paraId="4E1FFCD2" w14:textId="297E5247" w:rsidR="00B935ED" w:rsidRPr="00CA2C15" w:rsidRDefault="00B935ED" w:rsidP="006A4C60">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So far</w:t>
      </w:r>
      <w:r w:rsidR="008E179D"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we have considered the standard steps and timetable in preparation for a judicial review challenge, and commencing the challenge: 14 days for a response to the </w:t>
      </w:r>
      <w:r w:rsidR="00BB0E4C" w:rsidRPr="00CA2C15">
        <w:rPr>
          <w:rFonts w:ascii="Calibri" w:eastAsia="Arial" w:hAnsi="Calibri" w:cs="Calibri"/>
          <w:color w:val="000000"/>
          <w:sz w:val="24"/>
          <w:szCs w:val="24"/>
        </w:rPr>
        <w:t>PAP</w:t>
      </w:r>
      <w:r w:rsidRPr="00CA2C15">
        <w:rPr>
          <w:rFonts w:ascii="Calibri" w:eastAsia="Arial" w:hAnsi="Calibri" w:cs="Calibri"/>
          <w:color w:val="000000"/>
          <w:sz w:val="24"/>
          <w:szCs w:val="24"/>
        </w:rPr>
        <w:t xml:space="preserve">; </w:t>
      </w:r>
      <w:r w:rsidR="00860771" w:rsidRPr="00CA2C15">
        <w:rPr>
          <w:rFonts w:ascii="Calibri" w:eastAsia="Arial" w:hAnsi="Calibri" w:cs="Calibri"/>
          <w:color w:val="000000"/>
          <w:sz w:val="24"/>
          <w:szCs w:val="24"/>
        </w:rPr>
        <w:t xml:space="preserve">some time that is necessary for preparing to issue the claim, </w:t>
      </w:r>
      <w:r w:rsidRPr="00CA2C15">
        <w:rPr>
          <w:rFonts w:ascii="Calibri" w:eastAsia="Arial" w:hAnsi="Calibri" w:cs="Calibri"/>
          <w:color w:val="000000"/>
          <w:sz w:val="24"/>
          <w:szCs w:val="24"/>
        </w:rPr>
        <w:t xml:space="preserve">21 days for the AoS; </w:t>
      </w:r>
      <w:r w:rsidR="00795FDF" w:rsidRPr="00CA2C15">
        <w:rPr>
          <w:rFonts w:ascii="Calibri" w:eastAsia="Arial" w:hAnsi="Calibri" w:cs="Calibri"/>
          <w:color w:val="000000"/>
          <w:sz w:val="24"/>
          <w:szCs w:val="24"/>
        </w:rPr>
        <w:t>7 days for a Repl</w:t>
      </w:r>
      <w:r w:rsidR="00B13CED" w:rsidRPr="00CA2C15">
        <w:rPr>
          <w:rFonts w:ascii="Calibri" w:eastAsia="Arial" w:hAnsi="Calibri" w:cs="Calibri"/>
          <w:color w:val="000000"/>
          <w:sz w:val="24"/>
          <w:szCs w:val="24"/>
        </w:rPr>
        <w:t>y</w:t>
      </w:r>
      <w:r w:rsidR="00795FDF"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permission considered on the papers thereafter</w:t>
      </w:r>
      <w:r w:rsidR="002E10DF" w:rsidRPr="00CA2C15">
        <w:rPr>
          <w:rFonts w:ascii="Calibri" w:eastAsia="Arial" w:hAnsi="Calibri" w:cs="Calibri"/>
          <w:color w:val="000000"/>
          <w:sz w:val="24"/>
          <w:szCs w:val="24"/>
        </w:rPr>
        <w:t xml:space="preserve"> (which can take weeks or months in some instances)</w:t>
      </w:r>
      <w:r w:rsidRPr="00CA2C15">
        <w:rPr>
          <w:rFonts w:ascii="Calibri" w:eastAsia="Arial" w:hAnsi="Calibri" w:cs="Calibri"/>
          <w:color w:val="000000"/>
          <w:sz w:val="24"/>
          <w:szCs w:val="24"/>
        </w:rPr>
        <w:t xml:space="preserve">; and if permission is granted, a substantive </w:t>
      </w:r>
      <w:r w:rsidRPr="00CA2C15">
        <w:rPr>
          <w:rFonts w:ascii="Calibri" w:eastAsia="Times New Roman" w:hAnsi="Calibri" w:cs="Calibri"/>
          <w:sz w:val="24"/>
          <w:szCs w:val="20"/>
          <w:lang w:val="en-GB"/>
        </w:rPr>
        <w:t>hearing</w:t>
      </w:r>
      <w:r w:rsidRPr="00CA2C15">
        <w:rPr>
          <w:rFonts w:ascii="Calibri" w:eastAsia="Arial" w:hAnsi="Calibri" w:cs="Calibri"/>
          <w:color w:val="000000"/>
          <w:sz w:val="24"/>
          <w:szCs w:val="24"/>
        </w:rPr>
        <w:t xml:space="preserve"> </w:t>
      </w:r>
      <w:r w:rsidR="00BA01EA" w:rsidRPr="00CA2C15">
        <w:rPr>
          <w:rFonts w:ascii="Calibri" w:eastAsia="Arial" w:hAnsi="Calibri" w:cs="Calibri"/>
          <w:color w:val="000000"/>
          <w:sz w:val="24"/>
          <w:szCs w:val="24"/>
        </w:rPr>
        <w:t xml:space="preserve">often many </w:t>
      </w:r>
      <w:r w:rsidRPr="00CA2C15">
        <w:rPr>
          <w:rFonts w:ascii="Calibri" w:eastAsia="Arial" w:hAnsi="Calibri" w:cs="Calibri"/>
          <w:color w:val="000000"/>
          <w:sz w:val="24"/>
          <w:szCs w:val="24"/>
        </w:rPr>
        <w:t>months later. However</w:t>
      </w:r>
      <w:r w:rsidR="00955EDD"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there are many situations in which this standard approach will not be appropriate – for example:</w:t>
      </w:r>
    </w:p>
    <w:p w14:paraId="3C32D5D0" w14:textId="6E2749E1" w:rsidR="00B935ED" w:rsidRPr="00CA2C15" w:rsidRDefault="00B935ED" w:rsidP="0036277C">
      <w:pPr>
        <w:pStyle w:val="ListParagraph"/>
        <w:numPr>
          <w:ilvl w:val="0"/>
          <w:numId w:val="37"/>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Because your client urgently requires assistance/ a service, e.g. </w:t>
      </w:r>
      <w:r w:rsidR="00975BC7" w:rsidRPr="00CA2C15">
        <w:rPr>
          <w:rFonts w:ascii="Calibri" w:eastAsia="Arial" w:hAnsi="Calibri" w:cs="Calibri"/>
          <w:color w:val="000000"/>
          <w:sz w:val="24"/>
          <w:szCs w:val="24"/>
        </w:rPr>
        <w:t xml:space="preserve">, they </w:t>
      </w:r>
      <w:r w:rsidR="00955EDD" w:rsidRPr="00CA2C15">
        <w:rPr>
          <w:rFonts w:ascii="Calibri" w:eastAsia="Arial" w:hAnsi="Calibri" w:cs="Calibri"/>
          <w:color w:val="000000"/>
          <w:sz w:val="24"/>
          <w:szCs w:val="24"/>
        </w:rPr>
        <w:t>are</w:t>
      </w:r>
      <w:r w:rsidRPr="00CA2C15">
        <w:rPr>
          <w:rFonts w:ascii="Calibri" w:eastAsia="Arial" w:hAnsi="Calibri" w:cs="Calibri"/>
          <w:color w:val="000000"/>
          <w:sz w:val="24"/>
          <w:szCs w:val="24"/>
        </w:rPr>
        <w:t xml:space="preserve"> street homeless and require a roof over </w:t>
      </w:r>
      <w:r w:rsidR="00955EDD" w:rsidRPr="00CA2C15">
        <w:rPr>
          <w:rFonts w:ascii="Calibri" w:eastAsia="Arial" w:hAnsi="Calibri" w:cs="Calibri"/>
          <w:color w:val="000000"/>
          <w:sz w:val="24"/>
          <w:szCs w:val="24"/>
        </w:rPr>
        <w:t xml:space="preserve">their </w:t>
      </w:r>
      <w:r w:rsidRPr="00CA2C15">
        <w:rPr>
          <w:rFonts w:ascii="Calibri" w:eastAsia="Arial" w:hAnsi="Calibri" w:cs="Calibri"/>
          <w:color w:val="000000"/>
          <w:sz w:val="24"/>
          <w:szCs w:val="24"/>
        </w:rPr>
        <w:t>head immediately; or an already removed service or assistance should be reinstated to prevent immediate harm, such as reinstating the provision of methadone to a methadone-dependent prisoner;</w:t>
      </w:r>
    </w:p>
    <w:p w14:paraId="05415805" w14:textId="635D0944" w:rsidR="00B935ED" w:rsidRPr="00CA2C15" w:rsidRDefault="00B935ED" w:rsidP="0036277C">
      <w:pPr>
        <w:pStyle w:val="ListParagraph"/>
        <w:numPr>
          <w:ilvl w:val="0"/>
          <w:numId w:val="37"/>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Because the public body may be about to take a step which is impossible or difficult to reverse if it goes ahead, e.g. to introduce a new policy or practice; or a prison or local authority social services department is about to separate a mother and newborn baby; or the </w:t>
      </w:r>
      <w:r w:rsidR="00B13CED" w:rsidRPr="00CA2C15">
        <w:rPr>
          <w:rFonts w:ascii="Calibri" w:eastAsia="Arial" w:hAnsi="Calibri" w:cs="Calibri"/>
          <w:color w:val="000000"/>
          <w:sz w:val="24"/>
          <w:szCs w:val="24"/>
        </w:rPr>
        <w:t xml:space="preserve">UK immigration authorities are </w:t>
      </w:r>
      <w:r w:rsidRPr="00CA2C15">
        <w:rPr>
          <w:rFonts w:ascii="Calibri" w:eastAsia="Arial" w:hAnsi="Calibri" w:cs="Calibri"/>
          <w:color w:val="000000"/>
          <w:sz w:val="24"/>
          <w:szCs w:val="24"/>
        </w:rPr>
        <w:t xml:space="preserve">about to remove a person from the country to a place where </w:t>
      </w:r>
      <w:r w:rsidR="00582770" w:rsidRPr="00CA2C15">
        <w:rPr>
          <w:rFonts w:ascii="Calibri" w:eastAsia="Arial" w:hAnsi="Calibri" w:cs="Calibri"/>
          <w:color w:val="000000"/>
          <w:sz w:val="24"/>
          <w:szCs w:val="24"/>
        </w:rPr>
        <w:t>they</w:t>
      </w:r>
      <w:r w:rsidRPr="00CA2C15">
        <w:rPr>
          <w:rFonts w:ascii="Calibri" w:eastAsia="Arial" w:hAnsi="Calibri" w:cs="Calibri"/>
          <w:color w:val="000000"/>
          <w:sz w:val="24"/>
          <w:szCs w:val="24"/>
        </w:rPr>
        <w:t xml:space="preserve"> would </w:t>
      </w:r>
      <w:r w:rsidR="00EA75BF" w:rsidRPr="00CA2C15">
        <w:rPr>
          <w:rFonts w:ascii="Calibri" w:eastAsia="Arial" w:hAnsi="Calibri" w:cs="Calibri"/>
          <w:color w:val="000000"/>
          <w:sz w:val="24"/>
          <w:szCs w:val="24"/>
        </w:rPr>
        <w:t xml:space="preserve">be at </w:t>
      </w:r>
      <w:r w:rsidRPr="00CA2C15">
        <w:rPr>
          <w:rFonts w:ascii="Calibri" w:eastAsia="Arial" w:hAnsi="Calibri" w:cs="Calibri"/>
          <w:color w:val="000000"/>
          <w:sz w:val="24"/>
          <w:szCs w:val="24"/>
        </w:rPr>
        <w:t xml:space="preserve">risk </w:t>
      </w:r>
      <w:r w:rsidR="00EA75BF" w:rsidRPr="00CA2C15">
        <w:rPr>
          <w:rFonts w:ascii="Calibri" w:eastAsia="Arial" w:hAnsi="Calibri" w:cs="Calibri"/>
          <w:color w:val="000000"/>
          <w:sz w:val="24"/>
          <w:szCs w:val="24"/>
        </w:rPr>
        <w:t xml:space="preserve">of </w:t>
      </w:r>
      <w:r w:rsidRPr="00CA2C15">
        <w:rPr>
          <w:rFonts w:ascii="Calibri" w:eastAsia="Arial" w:hAnsi="Calibri" w:cs="Calibri"/>
          <w:color w:val="000000"/>
          <w:sz w:val="24"/>
          <w:szCs w:val="24"/>
        </w:rPr>
        <w:t xml:space="preserve">serious harm; or a prisoner has been refused permission to attend </w:t>
      </w:r>
      <w:r w:rsidR="00EA75BF" w:rsidRPr="00CA2C15">
        <w:rPr>
          <w:rFonts w:ascii="Calibri" w:eastAsia="Arial" w:hAnsi="Calibri" w:cs="Calibri"/>
          <w:color w:val="000000"/>
          <w:sz w:val="24"/>
          <w:szCs w:val="24"/>
        </w:rPr>
        <w:t xml:space="preserve">their </w:t>
      </w:r>
      <w:r w:rsidRPr="00CA2C15">
        <w:rPr>
          <w:rFonts w:ascii="Calibri" w:eastAsia="Arial" w:hAnsi="Calibri" w:cs="Calibri"/>
          <w:color w:val="000000"/>
          <w:sz w:val="24"/>
          <w:szCs w:val="24"/>
        </w:rPr>
        <w:t>parent’s funeral and it takes place tomorrow;</w:t>
      </w:r>
    </w:p>
    <w:p w14:paraId="36DA67EC" w14:textId="422385E0" w:rsidR="00B935ED" w:rsidRPr="00CA2C15" w:rsidRDefault="00B935ED" w:rsidP="0036277C">
      <w:pPr>
        <w:pStyle w:val="ListParagraph"/>
        <w:numPr>
          <w:ilvl w:val="0"/>
          <w:numId w:val="37"/>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Because the three-month time limit</w:t>
      </w:r>
      <w:r w:rsidR="00EA75BF" w:rsidRPr="00CA2C15">
        <w:rPr>
          <w:rFonts w:ascii="Calibri" w:eastAsia="Arial" w:hAnsi="Calibri" w:cs="Calibri"/>
          <w:color w:val="000000"/>
          <w:sz w:val="24"/>
          <w:szCs w:val="24"/>
        </w:rPr>
        <w:t>ation</w:t>
      </w:r>
      <w:r w:rsidRPr="00CA2C15">
        <w:rPr>
          <w:rFonts w:ascii="Calibri" w:eastAsia="Arial" w:hAnsi="Calibri" w:cs="Calibri"/>
          <w:color w:val="000000"/>
          <w:sz w:val="24"/>
          <w:szCs w:val="24"/>
        </w:rPr>
        <w:t xml:space="preserve"> for </w:t>
      </w:r>
      <w:r w:rsidR="00EA75BF" w:rsidRPr="00CA2C15">
        <w:rPr>
          <w:rFonts w:ascii="Calibri" w:eastAsia="Arial" w:hAnsi="Calibri" w:cs="Calibri"/>
          <w:color w:val="000000"/>
          <w:sz w:val="24"/>
          <w:szCs w:val="24"/>
        </w:rPr>
        <w:t xml:space="preserve">issuing a </w:t>
      </w:r>
      <w:r w:rsidRPr="00CA2C15">
        <w:rPr>
          <w:rFonts w:ascii="Calibri" w:eastAsia="Arial" w:hAnsi="Calibri" w:cs="Calibri"/>
          <w:color w:val="000000"/>
          <w:sz w:val="24"/>
          <w:szCs w:val="24"/>
        </w:rPr>
        <w:t>judicial review</w:t>
      </w:r>
      <w:r w:rsidR="00EA75BF" w:rsidRPr="00CA2C15">
        <w:rPr>
          <w:rFonts w:ascii="Calibri" w:eastAsia="Arial" w:hAnsi="Calibri" w:cs="Calibri"/>
          <w:color w:val="000000"/>
          <w:sz w:val="24"/>
          <w:szCs w:val="24"/>
        </w:rPr>
        <w:t xml:space="preserve"> claim</w:t>
      </w:r>
      <w:r w:rsidRPr="00CA2C15">
        <w:rPr>
          <w:rFonts w:ascii="Calibri" w:eastAsia="Arial" w:hAnsi="Calibri" w:cs="Calibri"/>
          <w:color w:val="000000"/>
          <w:sz w:val="24"/>
          <w:szCs w:val="24"/>
        </w:rPr>
        <w:t xml:space="preserve"> may be about to expire;</w:t>
      </w:r>
    </w:p>
    <w:p w14:paraId="425D23E0" w14:textId="77777777" w:rsidR="008E179D" w:rsidRPr="00CA2C15" w:rsidRDefault="00B935ED" w:rsidP="0036277C">
      <w:pPr>
        <w:pStyle w:val="ListParagraph"/>
        <w:numPr>
          <w:ilvl w:val="0"/>
          <w:numId w:val="37"/>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After proceedings have been issued there is a change of circumstances which means that the case has become very urgent, or a service is urgently required.</w:t>
      </w:r>
    </w:p>
    <w:p w14:paraId="6AAAD2F0" w14:textId="5C711672" w:rsidR="00B935ED" w:rsidRPr="00CA2C15" w:rsidRDefault="00B935ED" w:rsidP="00761180">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w:t>
      </w:r>
      <w:r w:rsidRPr="00CA2C15">
        <w:rPr>
          <w:rFonts w:ascii="Calibri" w:eastAsia="Times New Roman" w:hAnsi="Calibri" w:cs="Calibri"/>
          <w:sz w:val="24"/>
          <w:szCs w:val="20"/>
          <w:lang w:val="en-GB"/>
        </w:rPr>
        <w:t>urgent</w:t>
      </w:r>
      <w:r w:rsidRPr="00CA2C15">
        <w:rPr>
          <w:rFonts w:ascii="Calibri" w:eastAsia="Arial" w:hAnsi="Calibri" w:cs="Calibri"/>
          <w:color w:val="000000"/>
          <w:sz w:val="24"/>
          <w:szCs w:val="24"/>
        </w:rPr>
        <w:t xml:space="preserve"> cases the standard steps and timetable can be altered. For example:</w:t>
      </w:r>
    </w:p>
    <w:p w14:paraId="366B3853" w14:textId="229B2968" w:rsidR="00B935ED" w:rsidRPr="00CA2C15" w:rsidRDefault="00B935ED" w:rsidP="00701BB5">
      <w:pPr>
        <w:pStyle w:val="ListParagraph"/>
        <w:numPr>
          <w:ilvl w:val="0"/>
          <w:numId w:val="38"/>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It may not be necessary to follow the pre-action protocol and wait 14 days for a response to the </w:t>
      </w:r>
      <w:r w:rsidR="008717AB" w:rsidRPr="00CA2C15">
        <w:rPr>
          <w:rFonts w:ascii="Calibri" w:eastAsia="Arial" w:hAnsi="Calibri" w:cs="Calibri"/>
          <w:color w:val="000000"/>
          <w:sz w:val="24"/>
          <w:szCs w:val="24"/>
        </w:rPr>
        <w:t xml:space="preserve">pre-action </w:t>
      </w:r>
      <w:r w:rsidRPr="00CA2C15">
        <w:rPr>
          <w:rFonts w:ascii="Calibri" w:eastAsia="Arial" w:hAnsi="Calibri" w:cs="Calibri"/>
          <w:color w:val="000000"/>
          <w:sz w:val="24"/>
          <w:szCs w:val="24"/>
        </w:rPr>
        <w:t>letter. The timetable can be ‘abridged,’ or in exceptional emergency cases it may not be necessary to send a</w:t>
      </w:r>
      <w:r w:rsidR="008717AB" w:rsidRPr="00CA2C15">
        <w:rPr>
          <w:rFonts w:ascii="Calibri" w:eastAsia="Arial" w:hAnsi="Calibri" w:cs="Calibri"/>
          <w:color w:val="000000"/>
          <w:sz w:val="24"/>
          <w:szCs w:val="24"/>
        </w:rPr>
        <w:t xml:space="preserve"> pre-action letter </w:t>
      </w:r>
      <w:r w:rsidRPr="00CA2C15">
        <w:rPr>
          <w:rFonts w:ascii="Calibri" w:eastAsia="Arial" w:hAnsi="Calibri" w:cs="Calibri"/>
          <w:color w:val="000000"/>
          <w:sz w:val="24"/>
          <w:szCs w:val="24"/>
        </w:rPr>
        <w:t>at all (but in all cases, no matter how urgent, you must give reasonable notice to the public body – see below);</w:t>
      </w:r>
    </w:p>
    <w:p w14:paraId="6CA52475" w14:textId="67A4A46E" w:rsidR="00C82207" w:rsidRPr="00CA2C15" w:rsidRDefault="00B935ED" w:rsidP="00701BB5">
      <w:pPr>
        <w:pStyle w:val="ListParagraph"/>
        <w:numPr>
          <w:ilvl w:val="0"/>
          <w:numId w:val="38"/>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In certain emergency cases, judicial review proceedings can be issued within days of a solicitor being instructed. In exceptional cases this can even happen on the same day</w:t>
      </w:r>
      <w:r w:rsidR="00DE6F5E" w:rsidRPr="00CA2C15">
        <w:rPr>
          <w:rFonts w:ascii="Calibri" w:eastAsia="Arial" w:hAnsi="Calibri" w:cs="Calibri"/>
          <w:color w:val="000000"/>
          <w:sz w:val="24"/>
          <w:szCs w:val="24"/>
        </w:rPr>
        <w:t xml:space="preserve"> (and out of hours where necessary)</w:t>
      </w:r>
      <w:r w:rsidRPr="00CA2C15">
        <w:rPr>
          <w:rFonts w:ascii="Calibri" w:eastAsia="Arial" w:hAnsi="Calibri" w:cs="Calibri"/>
          <w:color w:val="000000"/>
          <w:sz w:val="24"/>
          <w:szCs w:val="24"/>
        </w:rPr>
        <w:t>;</w:t>
      </w:r>
    </w:p>
    <w:p w14:paraId="37B5BA05" w14:textId="42CDF4C7" w:rsidR="00B935ED" w:rsidRPr="00CA2C15" w:rsidRDefault="00B935ED" w:rsidP="00701BB5">
      <w:pPr>
        <w:pStyle w:val="ListParagraph"/>
        <w:numPr>
          <w:ilvl w:val="0"/>
          <w:numId w:val="38"/>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 immediate, temporary court order can be obtained to deal with pressing issues – for example requiring the public body to immediately take a particular step (such as provide accommodation), or to stop doing something (such as introduce a new policy or remove your client from the country). ‘Injunctions’ or ‘interim relief’ can protect your client or ensure that the status quo is maintained </w:t>
      </w:r>
      <w:r w:rsidR="000D3384" w:rsidRPr="00CA2C15">
        <w:rPr>
          <w:rFonts w:ascii="Calibri" w:eastAsia="Arial" w:hAnsi="Calibri" w:cs="Calibri"/>
          <w:color w:val="000000"/>
          <w:sz w:val="24"/>
          <w:szCs w:val="24"/>
        </w:rPr>
        <w:t xml:space="preserve">or a service is provided in the interim, </w:t>
      </w:r>
      <w:r w:rsidRPr="00CA2C15">
        <w:rPr>
          <w:rFonts w:ascii="Calibri" w:eastAsia="Arial" w:hAnsi="Calibri" w:cs="Calibri"/>
          <w:color w:val="000000"/>
          <w:sz w:val="24"/>
          <w:szCs w:val="24"/>
        </w:rPr>
        <w:t>until a final decision can be made about the claim for judicial review;</w:t>
      </w:r>
    </w:p>
    <w:p w14:paraId="51AE21B0" w14:textId="5AACCDCA" w:rsidR="00B935ED" w:rsidRPr="00CA2C15" w:rsidRDefault="00B935ED" w:rsidP="00701BB5">
      <w:pPr>
        <w:pStyle w:val="ListParagraph"/>
        <w:numPr>
          <w:ilvl w:val="0"/>
          <w:numId w:val="38"/>
        </w:numPr>
        <w:spacing w:after="160" w:line="360" w:lineRule="auto"/>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008D7713"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can be asked to speed up the usual timetable. For example, a ‘rolled-up hearing’ can be ordered, which combines the permission stage and the final hearing; the Court can abridge time for the AoS, requiring the public body to provide it within 7 or 14 days rather than 21; or the </w:t>
      </w:r>
      <w:r w:rsidR="003D72CC"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 can require the final hearing to be expedited and heard by a particular date (‘no later than...’).</w:t>
      </w:r>
    </w:p>
    <w:p w14:paraId="1D92D853" w14:textId="3DE8031B" w:rsidR="00B935ED" w:rsidRPr="00CA2C15" w:rsidRDefault="00B935ED" w:rsidP="004D722B">
      <w:pPr>
        <w:pStyle w:val="ListParagraph"/>
        <w:numPr>
          <w:ilvl w:val="0"/>
          <w:numId w:val="4"/>
        </w:numPr>
        <w:spacing w:after="160" w:line="360" w:lineRule="auto"/>
        <w:ind w:left="709" w:hanging="709"/>
        <w:jc w:val="both"/>
        <w:rPr>
          <w:rFonts w:ascii="Calibri" w:eastAsia="Arial" w:hAnsi="Calibri" w:cs="Calibri"/>
          <w:color w:val="000000"/>
          <w:sz w:val="24"/>
          <w:szCs w:val="24"/>
        </w:rPr>
      </w:pPr>
      <w:r w:rsidRPr="00CA2C15">
        <w:rPr>
          <w:rFonts w:ascii="Calibri" w:eastAsia="Arial" w:hAnsi="Calibri" w:cs="Calibri"/>
          <w:color w:val="000000"/>
          <w:sz w:val="24"/>
          <w:szCs w:val="24"/>
        </w:rPr>
        <w:t>Bear in mind that what is appropriate will depend very much upon the circumstances of the case. For example:</w:t>
      </w:r>
    </w:p>
    <w:p w14:paraId="2581AAEA" w14:textId="58213531" w:rsidR="00B935ED" w:rsidRPr="00CA2C15" w:rsidRDefault="00B935ED" w:rsidP="003D72CC">
      <w:pPr>
        <w:pStyle w:val="ListParagraph"/>
        <w:numPr>
          <w:ilvl w:val="0"/>
          <w:numId w:val="25"/>
        </w:numPr>
        <w:spacing w:after="16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your client comes to you on the last day of the 3-month time limit, having taken no earlier action, and this delay is the only reason why the case is now ‘urgent,’ the vast majority of the urgent mechanisms will simply not be appropriate. You may, for example, decide you need to issue proceedings protectively, but still send a pre-action </w:t>
      </w:r>
      <w:r w:rsidR="00DD08E0" w:rsidRPr="00CA2C15">
        <w:rPr>
          <w:rFonts w:ascii="Calibri" w:eastAsia="Arial" w:hAnsi="Calibri" w:cs="Calibri"/>
          <w:color w:val="000000"/>
          <w:sz w:val="24"/>
          <w:szCs w:val="24"/>
        </w:rPr>
        <w:t>letter</w:t>
      </w:r>
      <w:r w:rsidRPr="00CA2C15">
        <w:rPr>
          <w:rFonts w:ascii="Calibri" w:eastAsia="Arial" w:hAnsi="Calibri" w:cs="Calibri"/>
          <w:color w:val="000000"/>
          <w:sz w:val="24"/>
          <w:szCs w:val="24"/>
        </w:rPr>
        <w:t>, delay service of the claim form for as long as you can under CPR 54.7</w:t>
      </w:r>
      <w:r w:rsidR="000837A6" w:rsidRPr="00CA2C15">
        <w:rPr>
          <w:rFonts w:ascii="Calibri" w:eastAsia="Arial" w:hAnsi="Calibri" w:cs="Calibri"/>
          <w:color w:val="000000"/>
          <w:sz w:val="24"/>
          <w:szCs w:val="24"/>
        </w:rPr>
        <w:t xml:space="preserve"> and/or seek to agree a stay in the claim with the defendant to enable them to provide a response to the pre-action letter. </w:t>
      </w:r>
      <w:r w:rsidR="00C80EB4" w:rsidRPr="00CA2C15">
        <w:rPr>
          <w:rFonts w:ascii="Calibri" w:eastAsia="Arial" w:hAnsi="Calibri" w:cs="Calibri"/>
          <w:color w:val="000000"/>
          <w:sz w:val="24"/>
          <w:szCs w:val="24"/>
        </w:rPr>
        <w:t>You would also</w:t>
      </w:r>
      <w:r w:rsidRPr="00CA2C15">
        <w:rPr>
          <w:rFonts w:ascii="Calibri" w:eastAsia="Arial" w:hAnsi="Calibri" w:cs="Calibri"/>
          <w:color w:val="000000"/>
          <w:sz w:val="24"/>
          <w:szCs w:val="24"/>
        </w:rPr>
        <w:t xml:space="preserve"> make clear to the </w:t>
      </w:r>
      <w:r w:rsidR="00C80EB4" w:rsidRPr="00CA2C15">
        <w:rPr>
          <w:rFonts w:ascii="Calibri" w:eastAsia="Arial" w:hAnsi="Calibri" w:cs="Calibri"/>
          <w:color w:val="000000"/>
          <w:sz w:val="24"/>
          <w:szCs w:val="24"/>
        </w:rPr>
        <w:t>defendant</w:t>
      </w:r>
      <w:r w:rsidRPr="00CA2C15">
        <w:rPr>
          <w:rFonts w:ascii="Calibri" w:eastAsia="Arial" w:hAnsi="Calibri" w:cs="Calibri"/>
          <w:color w:val="000000"/>
          <w:sz w:val="24"/>
          <w:szCs w:val="24"/>
        </w:rPr>
        <w:t xml:space="preserve"> that you will consider any response and withdraw the claim before their AoS is due if they give you a satisfactory answer;</w:t>
      </w:r>
    </w:p>
    <w:p w14:paraId="7A86A6C6" w14:textId="01BB809D" w:rsidR="00B935ED" w:rsidRPr="00CA2C15" w:rsidRDefault="00B935ED" w:rsidP="003D72CC">
      <w:pPr>
        <w:pStyle w:val="ListParagraph"/>
        <w:numPr>
          <w:ilvl w:val="0"/>
          <w:numId w:val="25"/>
        </w:numPr>
        <w:spacing w:after="16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most housing/ social welfare/ community care cases interim relief can hold the position until the final hearing takes place, so once an urgent </w:t>
      </w:r>
      <w:r w:rsidR="009C3E25" w:rsidRPr="00CA2C15">
        <w:rPr>
          <w:rFonts w:ascii="Calibri" w:eastAsia="Arial" w:hAnsi="Calibri" w:cs="Calibri"/>
          <w:color w:val="000000"/>
          <w:sz w:val="24"/>
          <w:szCs w:val="24"/>
        </w:rPr>
        <w:t>o</w:t>
      </w:r>
      <w:r w:rsidRPr="00CA2C15">
        <w:rPr>
          <w:rFonts w:ascii="Calibri" w:eastAsia="Arial" w:hAnsi="Calibri" w:cs="Calibri"/>
          <w:color w:val="000000"/>
          <w:sz w:val="24"/>
          <w:szCs w:val="24"/>
        </w:rPr>
        <w:t>rder is obtained the timetable going forward can still allow for many if not all of the usual steps to take place (AoS, exchange of skeleton arguments, and so on);</w:t>
      </w:r>
    </w:p>
    <w:p w14:paraId="1AB8FCFB" w14:textId="77777777" w:rsidR="00B935ED" w:rsidRPr="00CA2C15" w:rsidRDefault="00B935ED" w:rsidP="003D72CC">
      <w:pPr>
        <w:pStyle w:val="ListParagraph"/>
        <w:numPr>
          <w:ilvl w:val="0"/>
          <w:numId w:val="25"/>
        </w:numPr>
        <w:spacing w:after="16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However in some cases it is essential that the final hearing take place very quickly, and interim relief cannot assist.</w:t>
      </w:r>
    </w:p>
    <w:p w14:paraId="45CDF72F" w14:textId="42A29814" w:rsidR="00B935ED" w:rsidRPr="00CA2C15" w:rsidRDefault="00B935ED" w:rsidP="0055168A">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Key</w:t>
      </w:r>
      <w:r w:rsidRPr="00CA2C15">
        <w:rPr>
          <w:rFonts w:ascii="Calibri" w:eastAsia="Arial" w:hAnsi="Calibri" w:cs="Calibri"/>
          <w:color w:val="000000"/>
          <w:sz w:val="24"/>
          <w:szCs w:val="24"/>
        </w:rPr>
        <w:t xml:space="preserve"> questions for the Claimant’s representatives to consider are:</w:t>
      </w:r>
    </w:p>
    <w:p w14:paraId="0990A34A" w14:textId="77777777" w:rsidR="00B935ED" w:rsidRPr="00CA2C15" w:rsidRDefault="00B935ED" w:rsidP="00853003">
      <w:pPr>
        <w:pStyle w:val="ListParagraph"/>
        <w:numPr>
          <w:ilvl w:val="0"/>
          <w:numId w:val="30"/>
        </w:numPr>
        <w:spacing w:after="160" w:line="360" w:lineRule="auto"/>
        <w:ind w:left="1560" w:hanging="426"/>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How urgent is the case? And why?</w:t>
      </w:r>
    </w:p>
    <w:p w14:paraId="0CD4FFDD" w14:textId="77777777" w:rsidR="00B935ED" w:rsidRPr="00CA2C15" w:rsidRDefault="00B935ED" w:rsidP="00853003">
      <w:pPr>
        <w:pStyle w:val="ListParagraph"/>
        <w:numPr>
          <w:ilvl w:val="0"/>
          <w:numId w:val="30"/>
        </w:numPr>
        <w:spacing w:after="160" w:line="360" w:lineRule="auto"/>
        <w:ind w:left="1560" w:hanging="426"/>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Does it require an urgent final hearing, i.e. a speedy resolution of the claim itself? Or would urgent interim relief hold the position until the substantive hearing?</w:t>
      </w:r>
    </w:p>
    <w:p w14:paraId="0DD3F752" w14:textId="6363C6E7" w:rsidR="00781517" w:rsidRPr="00CA2C15" w:rsidRDefault="00B935ED" w:rsidP="00853003">
      <w:pPr>
        <w:pStyle w:val="ListParagraph"/>
        <w:numPr>
          <w:ilvl w:val="0"/>
          <w:numId w:val="30"/>
        </w:numPr>
        <w:spacing w:after="240" w:line="360" w:lineRule="auto"/>
        <w:ind w:left="1560" w:hanging="426"/>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Sometimes, in cases where interim relief is granted, the </w:t>
      </w:r>
      <w:r w:rsidR="0055168A"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may not </w:t>
      </w:r>
      <w:r w:rsidRPr="00CA2C15">
        <w:rPr>
          <w:rFonts w:ascii="Calibri" w:eastAsia="Times New Roman" w:hAnsi="Calibri" w:cs="Calibri"/>
          <w:sz w:val="24"/>
          <w:szCs w:val="20"/>
          <w:lang w:val="en-GB"/>
        </w:rPr>
        <w:t>require</w:t>
      </w:r>
      <w:r w:rsidRPr="00CA2C15">
        <w:rPr>
          <w:rFonts w:ascii="Calibri" w:eastAsia="Arial" w:hAnsi="Calibri" w:cs="Calibri"/>
          <w:color w:val="000000"/>
          <w:sz w:val="24"/>
          <w:szCs w:val="24"/>
        </w:rPr>
        <w:t xml:space="preserve"> a speedy final hearing, but this will be a concern to the </w:t>
      </w:r>
      <w:r w:rsidR="0055168A"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For example, where the interim relief is the provision of expensive accommodation pending the hearing, and the </w:t>
      </w:r>
      <w:r w:rsidR="0055168A"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considers that there is no duty to provide it, </w:t>
      </w:r>
      <w:r w:rsidR="006713E1" w:rsidRPr="00CA2C15">
        <w:rPr>
          <w:rFonts w:ascii="Calibri" w:eastAsia="Arial" w:hAnsi="Calibri" w:cs="Calibri"/>
          <w:color w:val="000000"/>
          <w:sz w:val="24"/>
          <w:szCs w:val="24"/>
        </w:rPr>
        <w:t>they</w:t>
      </w:r>
      <w:r w:rsidRPr="00CA2C15">
        <w:rPr>
          <w:rFonts w:ascii="Calibri" w:eastAsia="Arial" w:hAnsi="Calibri" w:cs="Calibri"/>
          <w:color w:val="000000"/>
          <w:sz w:val="24"/>
          <w:szCs w:val="24"/>
        </w:rPr>
        <w:t xml:space="preserve"> will be anxious to minimise the expenditure by ensuring the hearing takes place promptly.</w:t>
      </w:r>
    </w:p>
    <w:p w14:paraId="5D37444B" w14:textId="1D1C515D" w:rsidR="00B935ED" w:rsidRPr="00CA2C15" w:rsidRDefault="00DD27A2" w:rsidP="00781517">
      <w:pPr>
        <w:tabs>
          <w:tab w:val="left" w:pos="216"/>
          <w:tab w:val="left" w:pos="288"/>
        </w:tabs>
        <w:spacing w:after="240" w:line="360" w:lineRule="auto"/>
        <w:ind w:left="357"/>
        <w:jc w:val="both"/>
        <w:textAlignment w:val="baseline"/>
        <w:rPr>
          <w:rFonts w:ascii="Calibri" w:eastAsia="Arial" w:hAnsi="Calibri" w:cs="Calibri"/>
          <w:color w:val="000000"/>
          <w:sz w:val="24"/>
          <w:szCs w:val="24"/>
        </w:rPr>
      </w:pPr>
      <w:r w:rsidRPr="00CA2C15">
        <w:rPr>
          <w:rFonts w:ascii="Calibri" w:eastAsia="Arial" w:hAnsi="Calibri" w:cs="Calibri"/>
          <w:b/>
          <w:color w:val="000000"/>
          <w:sz w:val="24"/>
          <w:szCs w:val="24"/>
        </w:rPr>
        <w:tab/>
      </w:r>
      <w:r w:rsidR="00B935ED" w:rsidRPr="00CA2C15">
        <w:rPr>
          <w:rFonts w:ascii="Calibri" w:eastAsia="Arial" w:hAnsi="Calibri" w:cs="Calibri"/>
          <w:b/>
          <w:color w:val="000000"/>
          <w:sz w:val="24"/>
          <w:szCs w:val="24"/>
        </w:rPr>
        <w:t>Pre-Action Correspondence</w:t>
      </w:r>
    </w:p>
    <w:p w14:paraId="57A8A8A3" w14:textId="74C46791" w:rsidR="00781517" w:rsidRPr="00CA2C15" w:rsidRDefault="00B935ED" w:rsidP="00413D43">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As we have discussed above, the standard timetable under the PAP is for a </w:t>
      </w:r>
      <w:r w:rsidR="008A09B0" w:rsidRPr="00CA2C15">
        <w:rPr>
          <w:rFonts w:ascii="Calibri" w:eastAsia="Arial" w:hAnsi="Calibri" w:cs="Calibri"/>
          <w:color w:val="000000"/>
          <w:sz w:val="24"/>
          <w:szCs w:val="24"/>
        </w:rPr>
        <w:t xml:space="preserve">pre-action letter </w:t>
      </w:r>
      <w:r w:rsidRPr="00CA2C15">
        <w:rPr>
          <w:rFonts w:ascii="Calibri" w:eastAsia="Arial" w:hAnsi="Calibri" w:cs="Calibri"/>
          <w:color w:val="000000"/>
          <w:sz w:val="24"/>
          <w:szCs w:val="24"/>
        </w:rPr>
        <w:t xml:space="preserve">to </w:t>
      </w:r>
      <w:r w:rsidRPr="00CA2C15">
        <w:rPr>
          <w:rFonts w:ascii="Calibri" w:eastAsia="Times New Roman" w:hAnsi="Calibri" w:cs="Calibri"/>
          <w:sz w:val="24"/>
          <w:szCs w:val="20"/>
          <w:lang w:val="en-GB"/>
        </w:rPr>
        <w:t>be</w:t>
      </w:r>
      <w:r w:rsidRPr="00CA2C15">
        <w:rPr>
          <w:rFonts w:ascii="Calibri" w:eastAsia="Arial" w:hAnsi="Calibri" w:cs="Calibri"/>
          <w:color w:val="000000"/>
          <w:sz w:val="24"/>
          <w:szCs w:val="24"/>
        </w:rPr>
        <w:t xml:space="preserve"> sent by the </w:t>
      </w:r>
      <w:r w:rsidR="00413D43"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to the </w:t>
      </w:r>
      <w:r w:rsidR="00413D43"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allowing 14 days for a response. However, the PAP recognises that urgent situations may arise. It states at paras. 6 and 7:</w:t>
      </w:r>
    </w:p>
    <w:p w14:paraId="292810E6" w14:textId="77777777" w:rsidR="00781517" w:rsidRPr="00CA2C15" w:rsidRDefault="0023529F" w:rsidP="00781517">
      <w:pPr>
        <w:pStyle w:val="ListParagraph"/>
        <w:tabs>
          <w:tab w:val="left" w:pos="216"/>
          <w:tab w:val="left" w:pos="288"/>
        </w:tabs>
        <w:spacing w:after="240" w:line="360" w:lineRule="auto"/>
        <w:ind w:left="1440"/>
        <w:contextualSpacing w:val="0"/>
        <w:jc w:val="both"/>
        <w:textAlignment w:val="baseline"/>
        <w:rPr>
          <w:rFonts w:ascii="Calibri" w:eastAsia="Arial" w:hAnsi="Calibri" w:cs="Calibri"/>
          <w:i/>
          <w:color w:val="000000"/>
          <w:spacing w:val="-1"/>
        </w:rPr>
      </w:pPr>
      <w:r w:rsidRPr="00CA2C15">
        <w:rPr>
          <w:rFonts w:ascii="Calibri" w:eastAsia="Arial" w:hAnsi="Calibri" w:cs="Calibri"/>
          <w:i/>
          <w:color w:val="000000"/>
          <w:spacing w:val="-1"/>
        </w:rPr>
        <w:t xml:space="preserve">6. </w:t>
      </w:r>
      <w:r w:rsidR="00B935ED" w:rsidRPr="00CA2C15">
        <w:rPr>
          <w:rFonts w:ascii="Calibri" w:eastAsia="Arial" w:hAnsi="Calibri" w:cs="Calibri"/>
          <w:i/>
          <w:color w:val="000000"/>
          <w:spacing w:val="-1"/>
          <w:u w:val="single"/>
        </w:rPr>
        <w:t>This protocol will not be appropriate in very urgent cases</w:t>
      </w:r>
      <w:r w:rsidR="00B935ED" w:rsidRPr="00CA2C15">
        <w:rPr>
          <w:rFonts w:ascii="Calibri" w:eastAsia="Arial" w:hAnsi="Calibri" w:cs="Calibri"/>
          <w:i/>
          <w:color w:val="000000"/>
          <w:spacing w:val="-1"/>
        </w:rPr>
        <w:t xml:space="preserve">. In this sort of case, a claim should be made immediately. Examples are where directions have been set for the claimant's removal from the UK or where there is an urgent need for an interim order to compel a public body to act where it has unlawfully refused to do so, such as where a local housing authority fails to secure interim accommodation for a homeless claimant. A </w:t>
      </w:r>
      <w:r w:rsidR="0012565A" w:rsidRPr="00CA2C15">
        <w:rPr>
          <w:rFonts w:ascii="Calibri" w:eastAsia="Arial" w:hAnsi="Calibri" w:cs="Calibri"/>
          <w:i/>
          <w:color w:val="000000"/>
          <w:spacing w:val="-1"/>
        </w:rPr>
        <w:t>l</w:t>
      </w:r>
      <w:r w:rsidR="00B935ED" w:rsidRPr="00CA2C15">
        <w:rPr>
          <w:rFonts w:ascii="Calibri" w:eastAsia="Arial" w:hAnsi="Calibri" w:cs="Calibri"/>
          <w:i/>
          <w:color w:val="000000"/>
          <w:spacing w:val="-1"/>
        </w:rPr>
        <w:t>etter before claim, and a claim itself, will not stop the implementation of a disputed decision, though a proposed defendant may agree to take no action until its response letter has been provided. In other cases, the claimant may need to apply to the court for an urgent interim order. Even in very urgent cases, it is good practice to alert the defendant by telephone and to send by email (or fax) to the defendant the draft Claim Form which the claimant intends to issue. A claimant is also normally required to notify a defendant when an interim order is being sought.</w:t>
      </w:r>
    </w:p>
    <w:p w14:paraId="2F9B2B7E" w14:textId="31A885F7" w:rsidR="00B935ED" w:rsidRPr="00CA2C15" w:rsidRDefault="0023529F" w:rsidP="00781517">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rPr>
      </w:pPr>
      <w:r w:rsidRPr="00CA2C15">
        <w:rPr>
          <w:rFonts w:ascii="Calibri" w:eastAsia="Arial" w:hAnsi="Calibri" w:cs="Calibri"/>
          <w:i/>
          <w:color w:val="000000"/>
          <w:spacing w:val="-1"/>
        </w:rPr>
        <w:t xml:space="preserve">7. </w:t>
      </w:r>
      <w:r w:rsidR="00B935ED" w:rsidRPr="00CA2C15">
        <w:rPr>
          <w:rFonts w:ascii="Calibri" w:eastAsia="Arial" w:hAnsi="Calibri" w:cs="Calibri"/>
          <w:i/>
          <w:color w:val="000000"/>
          <w:spacing w:val="-1"/>
        </w:rPr>
        <w:t>All claimants will need to satisfy themselves whether they should follow the protocol, depending upon the circumstances of the case. Where the use of the protocol is</w:t>
      </w:r>
      <w:r w:rsidR="0012565A" w:rsidRPr="00CA2C15">
        <w:rPr>
          <w:rFonts w:ascii="Calibri" w:eastAsia="Arial" w:hAnsi="Calibri" w:cs="Calibri"/>
          <w:i/>
          <w:color w:val="000000"/>
        </w:rPr>
        <w:t xml:space="preserve"> </w:t>
      </w:r>
      <w:r w:rsidR="00B935ED" w:rsidRPr="00CA2C15">
        <w:rPr>
          <w:rFonts w:ascii="Calibri" w:eastAsia="Arial" w:hAnsi="Calibri" w:cs="Calibri"/>
          <w:i/>
          <w:color w:val="000000"/>
        </w:rPr>
        <w:t>appropriate, the court will normally expect all parties to have complied with it in good time before proceedings are issued and will take into account compliance</w:t>
      </w:r>
      <w:r w:rsidRPr="00CA2C15">
        <w:rPr>
          <w:rFonts w:ascii="Calibri" w:eastAsia="Arial" w:hAnsi="Calibri" w:cs="Calibri"/>
          <w:i/>
          <w:color w:val="000000"/>
        </w:rPr>
        <w:t xml:space="preserve"> and non-compliance when giving directions for case management of proceedings or when making orders for costs</w:t>
      </w:r>
      <w:r w:rsidR="00B935ED" w:rsidRPr="00CA2C15">
        <w:rPr>
          <w:rFonts w:ascii="Calibri" w:eastAsia="Arial" w:hAnsi="Calibri" w:cs="Calibri"/>
          <w:i/>
          <w:color w:val="000000"/>
        </w:rPr>
        <w:t>.</w:t>
      </w:r>
    </w:p>
    <w:p w14:paraId="6EE04B53" w14:textId="2DC61AB7" w:rsidR="00B935ED" w:rsidRPr="00CA2C15" w:rsidRDefault="00B935ED" w:rsidP="003925EB">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you are seeking to ‘abridge’ the usual timetable, and you are asking the public body to respond quickly, your </w:t>
      </w:r>
      <w:r w:rsidR="00022B4A" w:rsidRPr="00CA2C15">
        <w:rPr>
          <w:rFonts w:ascii="Calibri" w:eastAsia="Arial" w:hAnsi="Calibri" w:cs="Calibri"/>
          <w:color w:val="000000"/>
          <w:sz w:val="24"/>
          <w:szCs w:val="24"/>
        </w:rPr>
        <w:t xml:space="preserve">pre-action letter </w:t>
      </w:r>
      <w:r w:rsidRPr="00CA2C15">
        <w:rPr>
          <w:rFonts w:ascii="Calibri" w:eastAsia="Arial" w:hAnsi="Calibri" w:cs="Calibri"/>
          <w:color w:val="000000"/>
          <w:sz w:val="24"/>
          <w:szCs w:val="24"/>
        </w:rPr>
        <w:t xml:space="preserve">should explain why this shorter timetable is required. In some very urgent cases, it will not be possible to send a full </w:t>
      </w:r>
      <w:r w:rsidR="00022B4A" w:rsidRPr="00CA2C15">
        <w:rPr>
          <w:rFonts w:ascii="Calibri" w:eastAsia="Arial" w:hAnsi="Calibri" w:cs="Calibri"/>
          <w:color w:val="000000"/>
          <w:sz w:val="24"/>
          <w:szCs w:val="24"/>
        </w:rPr>
        <w:t xml:space="preserve">pre-action letter </w:t>
      </w:r>
      <w:r w:rsidRPr="00CA2C15">
        <w:rPr>
          <w:rFonts w:ascii="Calibri" w:eastAsia="Arial" w:hAnsi="Calibri" w:cs="Calibri"/>
          <w:color w:val="000000"/>
          <w:sz w:val="24"/>
          <w:szCs w:val="24"/>
        </w:rPr>
        <w:t xml:space="preserve">but you should always take all reasonable steps to ensure that the public body is on notice and informed. Even where the case is exceptionally urgent, it is very likely that you will have sufficient time to send a </w:t>
      </w:r>
      <w:r w:rsidR="00022B4A" w:rsidRPr="00CA2C15">
        <w:rPr>
          <w:rFonts w:ascii="Calibri" w:eastAsia="Arial" w:hAnsi="Calibri" w:cs="Calibri"/>
          <w:color w:val="000000"/>
          <w:sz w:val="24"/>
          <w:szCs w:val="24"/>
        </w:rPr>
        <w:t xml:space="preserve">pre-action letter </w:t>
      </w:r>
      <w:r w:rsidRPr="00CA2C15">
        <w:rPr>
          <w:rFonts w:ascii="Calibri" w:eastAsia="Arial" w:hAnsi="Calibri" w:cs="Calibri"/>
          <w:color w:val="000000"/>
          <w:sz w:val="24"/>
          <w:szCs w:val="24"/>
        </w:rPr>
        <w:t xml:space="preserve">or at least a letter which addresses the main issues, explains the urgency, and sets out what you intend to do. Such a ‘paper trail’ is critical to protect you and your client, and to maximise the opportunity for the </w:t>
      </w:r>
      <w:r w:rsidR="00864859"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to settle or negotiate.</w:t>
      </w:r>
    </w:p>
    <w:p w14:paraId="2DB6A517" w14:textId="09488592" w:rsidR="00B935ED" w:rsidRPr="00CA2C15" w:rsidRDefault="00B935ED" w:rsidP="003925EB">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We have noted above that a failure to comply with the PAP may have costs implications. This is another reason why a paper trail is helpful to the </w:t>
      </w:r>
      <w:r w:rsidR="00864859"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it allows you to set out, at the time, why it is not possible to give 14 days for a reply, or </w:t>
      </w:r>
      <w:r w:rsidRPr="00CA2C15">
        <w:rPr>
          <w:rFonts w:ascii="Calibri" w:eastAsia="Times New Roman" w:hAnsi="Calibri" w:cs="Calibri"/>
          <w:sz w:val="24"/>
          <w:szCs w:val="20"/>
          <w:lang w:val="en-GB"/>
        </w:rPr>
        <w:t>why</w:t>
      </w:r>
      <w:r w:rsidRPr="00CA2C15">
        <w:rPr>
          <w:rFonts w:ascii="Calibri" w:eastAsia="Arial" w:hAnsi="Calibri" w:cs="Calibri"/>
          <w:color w:val="000000"/>
          <w:sz w:val="24"/>
          <w:szCs w:val="24"/>
        </w:rPr>
        <w:t xml:space="preserve"> you cannot provide all of the detail required by the PAP. Such a letter may later be very relevant when it comes to either negotiating costs or applying to the </w:t>
      </w:r>
      <w:r w:rsidR="00562EBC"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 for a costs order.</w:t>
      </w:r>
    </w:p>
    <w:p w14:paraId="293CAB78" w14:textId="77777777" w:rsidR="0085676F" w:rsidRPr="00CA2C15" w:rsidRDefault="00B935ED" w:rsidP="003925EB">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Failure to comply with the PAP need not necessarily be fatal to a costs application: see e.g. </w:t>
      </w:r>
      <w:r w:rsidRPr="00CA2C15">
        <w:rPr>
          <w:rFonts w:ascii="Calibri" w:eastAsia="Arial" w:hAnsi="Calibri" w:cs="Calibri"/>
          <w:i/>
          <w:color w:val="000000"/>
          <w:sz w:val="24"/>
          <w:szCs w:val="24"/>
        </w:rPr>
        <w:t xml:space="preserve">R (KR) v. SSHD </w:t>
      </w:r>
      <w:r w:rsidRPr="00CA2C15">
        <w:rPr>
          <w:rFonts w:ascii="Calibri" w:eastAsia="Arial" w:hAnsi="Calibri" w:cs="Calibri"/>
          <w:color w:val="000000"/>
          <w:sz w:val="24"/>
          <w:szCs w:val="24"/>
        </w:rPr>
        <w:t>[2012] EWCA Civ 1555, where Maurice Kay LJ said at paras. 11 and 12:</w:t>
      </w:r>
    </w:p>
    <w:p w14:paraId="591E7EE0" w14:textId="77777777" w:rsidR="0085676F" w:rsidRPr="00CA2C15" w:rsidRDefault="00B935ED" w:rsidP="0085676F">
      <w:pPr>
        <w:pStyle w:val="ListParagraph"/>
        <w:tabs>
          <w:tab w:val="left" w:pos="216"/>
          <w:tab w:val="left" w:pos="288"/>
        </w:tabs>
        <w:spacing w:after="240" w:line="360" w:lineRule="auto"/>
        <w:ind w:left="1440"/>
        <w:contextualSpacing w:val="0"/>
        <w:jc w:val="both"/>
        <w:textAlignment w:val="baseline"/>
        <w:rPr>
          <w:rFonts w:ascii="Calibri" w:eastAsia="Arial" w:hAnsi="Calibri" w:cs="Calibri"/>
          <w:i/>
          <w:color w:val="000000"/>
        </w:rPr>
      </w:pPr>
      <w:r w:rsidRPr="00CA2C15">
        <w:rPr>
          <w:rFonts w:ascii="Calibri" w:eastAsia="Arial" w:hAnsi="Calibri" w:cs="Calibri"/>
          <w:i/>
          <w:color w:val="000000"/>
        </w:rPr>
        <w:t>“11... It is a case in which there was plainly a degree of urgency, but on the chronology as I have set it out, it seems to me that it would have been possible for the solicitors to communicate by letter, or certainly electronically, with the Secretary of State or the Treasury Solicitor before issuing the application. The solicitors had commenced to act on 18 January. Even if it can be said that the urgency was less before the setting of removal directions on 25 January, there still remained 13 days before the actual date set for removal on 7 February.</w:t>
      </w:r>
    </w:p>
    <w:p w14:paraId="51E66A4F" w14:textId="77777777" w:rsidR="0085676F" w:rsidRPr="00CA2C15" w:rsidRDefault="00B935ED" w:rsidP="0085676F">
      <w:pPr>
        <w:pStyle w:val="ListParagraph"/>
        <w:tabs>
          <w:tab w:val="left" w:pos="216"/>
          <w:tab w:val="left" w:pos="288"/>
        </w:tabs>
        <w:spacing w:after="240" w:line="360" w:lineRule="auto"/>
        <w:ind w:left="1440"/>
        <w:contextualSpacing w:val="0"/>
        <w:jc w:val="both"/>
        <w:textAlignment w:val="baseline"/>
        <w:rPr>
          <w:rFonts w:ascii="Calibri" w:eastAsia="Arial" w:hAnsi="Calibri" w:cs="Calibri"/>
          <w:i/>
          <w:color w:val="000000"/>
        </w:rPr>
      </w:pPr>
      <w:r w:rsidRPr="00CA2C15">
        <w:rPr>
          <w:rFonts w:ascii="Calibri" w:eastAsia="Arial" w:hAnsi="Calibri" w:cs="Calibri"/>
          <w:i/>
          <w:color w:val="000000"/>
        </w:rPr>
        <w:t>12. However, that is by no means the end of the matter. What is abundantly clear to me is that with more time, with prior warning, indeed with all the time in the world, the Secretary of State would have responded by robustly defending the application, as she did when her acknowledgment was served. It was not a hurried document in any way. It was a substantial document going to many pages, disputing the claim in every respect. From this I conclude that, even if there had been meticulous compliance with the pre-action protocol, it would still have been necessary for the appellant to make her application for judicial review and to pursue it to the point of the grant of permission before any likely positive response would have been forthcoming from the Secretary of State. To that extent, it seems to me that, by placing reliance on the failure to comply with the pre-action protocol in this case, Mitting J did fall into error because that failure was causally insignificant.”</w:t>
      </w:r>
    </w:p>
    <w:p w14:paraId="0E6C73D9" w14:textId="27F208D1" w:rsidR="00B935ED" w:rsidRPr="00CA2C15" w:rsidRDefault="00B935ED" w:rsidP="0085676F">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sz w:val="24"/>
          <w:szCs w:val="24"/>
        </w:rPr>
      </w:pPr>
      <w:r w:rsidRPr="00CA2C15">
        <w:rPr>
          <w:rFonts w:ascii="Calibri" w:eastAsia="Arial" w:hAnsi="Calibri" w:cs="Calibri"/>
          <w:color w:val="000000"/>
          <w:sz w:val="24"/>
          <w:szCs w:val="24"/>
        </w:rPr>
        <w:t xml:space="preserve">However, KR is an unusual case, and given that the CPR expressly refers to pre-action conduct, and given that it will be unclear to a </w:t>
      </w:r>
      <w:r w:rsidR="00562EBC"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prior to issue precisely how the </w:t>
      </w:r>
      <w:r w:rsidR="00562EBC"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will respond, in our view notice should always be given prior to issue (even if very short) and a </w:t>
      </w:r>
      <w:r w:rsidR="006B3C05" w:rsidRPr="00CA2C15">
        <w:rPr>
          <w:rFonts w:ascii="Calibri" w:eastAsia="Arial" w:hAnsi="Calibri" w:cs="Calibri"/>
          <w:color w:val="000000"/>
          <w:sz w:val="24"/>
          <w:szCs w:val="24"/>
        </w:rPr>
        <w:t xml:space="preserve">pre-action letter </w:t>
      </w:r>
      <w:r w:rsidRPr="00CA2C15">
        <w:rPr>
          <w:rFonts w:ascii="Calibri" w:eastAsia="Arial" w:hAnsi="Calibri" w:cs="Calibri"/>
          <w:color w:val="000000"/>
          <w:sz w:val="24"/>
          <w:szCs w:val="24"/>
        </w:rPr>
        <w:t>should be sent if at all possible.</w:t>
      </w:r>
    </w:p>
    <w:p w14:paraId="2EACE1D5" w14:textId="77777777" w:rsidR="00853003" w:rsidRPr="00CA2C15" w:rsidRDefault="00853003" w:rsidP="0085676F">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sz w:val="24"/>
          <w:szCs w:val="24"/>
        </w:rPr>
      </w:pPr>
    </w:p>
    <w:p w14:paraId="42881D05" w14:textId="77777777" w:rsidR="00853003" w:rsidRPr="00CA2C15" w:rsidRDefault="00853003" w:rsidP="0085676F">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sz w:val="24"/>
          <w:szCs w:val="24"/>
        </w:rPr>
      </w:pPr>
    </w:p>
    <w:p w14:paraId="71A500CE" w14:textId="77777777" w:rsidR="00B935ED" w:rsidRPr="00CA2C15" w:rsidRDefault="00B935ED" w:rsidP="008632D5">
      <w:pPr>
        <w:spacing w:after="240" w:line="360" w:lineRule="auto"/>
        <w:ind w:left="144" w:firstLine="576"/>
        <w:jc w:val="both"/>
        <w:textAlignment w:val="baseline"/>
        <w:rPr>
          <w:rFonts w:ascii="Calibri" w:eastAsia="Arial" w:hAnsi="Calibri" w:cs="Calibri"/>
          <w:b/>
          <w:color w:val="000000"/>
          <w:sz w:val="24"/>
          <w:szCs w:val="24"/>
        </w:rPr>
      </w:pPr>
      <w:r w:rsidRPr="00CA2C15">
        <w:rPr>
          <w:rFonts w:ascii="Calibri" w:eastAsia="Arial" w:hAnsi="Calibri" w:cs="Calibri"/>
          <w:b/>
          <w:color w:val="000000"/>
          <w:sz w:val="24"/>
          <w:szCs w:val="24"/>
        </w:rPr>
        <w:t>Interim Relief</w:t>
      </w:r>
    </w:p>
    <w:p w14:paraId="621CC8C8" w14:textId="0A913A05" w:rsidR="00B935ED" w:rsidRPr="00CA2C15" w:rsidRDefault="00B935ED" w:rsidP="00522AD6">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CPR Rule 25 deals with ‘Orders for Interim Remedies’. CPR r. 25(1) provides that </w:t>
      </w:r>
      <w:r w:rsidRPr="00CA2C15">
        <w:rPr>
          <w:rFonts w:ascii="Calibri" w:eastAsia="Times New Roman" w:hAnsi="Calibri" w:cs="Calibri"/>
          <w:sz w:val="24"/>
          <w:szCs w:val="20"/>
          <w:lang w:val="en-GB"/>
        </w:rPr>
        <w:t>the</w:t>
      </w:r>
      <w:r w:rsidRPr="00CA2C15">
        <w:rPr>
          <w:rFonts w:ascii="Calibri" w:eastAsia="Arial" w:hAnsi="Calibri" w:cs="Calibri"/>
          <w:color w:val="000000"/>
          <w:sz w:val="24"/>
          <w:szCs w:val="24"/>
        </w:rPr>
        <w:t xml:space="preserve"> </w:t>
      </w:r>
      <w:r w:rsidR="00522AD6"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may grant an ‘interim injunction’ or an ‘interim declaration,’ but the former is far more common and is the usual remedy you will be seeking. It is not usually appropriate for the </w:t>
      </w:r>
      <w:r w:rsidR="00522AD6"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 to grant permission on an urgent application</w:t>
      </w:r>
      <w:r w:rsidRPr="00CA2C15">
        <w:rPr>
          <w:rFonts w:ascii="Calibri" w:eastAsia="Arial" w:hAnsi="Calibri" w:cs="Calibri"/>
          <w:i/>
          <w:iCs/>
          <w:color w:val="000000"/>
          <w:sz w:val="24"/>
          <w:szCs w:val="24"/>
        </w:rPr>
        <w:t>: R (Karkut) v. SSHD</w:t>
      </w:r>
      <w:r w:rsidRPr="00CA2C15">
        <w:rPr>
          <w:rFonts w:ascii="Calibri" w:eastAsia="Arial" w:hAnsi="Calibri" w:cs="Calibri"/>
          <w:color w:val="000000"/>
          <w:sz w:val="24"/>
          <w:szCs w:val="24"/>
        </w:rPr>
        <w:t xml:space="preserve"> [2005] EWHC 354 (Admin).</w:t>
      </w:r>
    </w:p>
    <w:p w14:paraId="054F9ADE" w14:textId="77777777" w:rsidR="00B935ED" w:rsidRPr="00CA2C15" w:rsidRDefault="00B935ED" w:rsidP="00522AD6">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CPR r. 25.2 makes clear that interim relief can be obtained before proceedings have been issued:</w:t>
      </w:r>
    </w:p>
    <w:p w14:paraId="59F4F3F0" w14:textId="61C9DF26" w:rsidR="00B935ED" w:rsidRPr="00CA2C15" w:rsidRDefault="00B935ED" w:rsidP="00522AD6">
      <w:pPr>
        <w:pStyle w:val="ListParagraph"/>
        <w:numPr>
          <w:ilvl w:val="0"/>
          <w:numId w:val="31"/>
        </w:numPr>
        <w:spacing w:after="240" w:line="360" w:lineRule="auto"/>
        <w:jc w:val="both"/>
        <w:textAlignment w:val="baseline"/>
        <w:rPr>
          <w:rFonts w:ascii="Calibri" w:eastAsia="Arial" w:hAnsi="Calibri" w:cs="Calibri"/>
          <w:i/>
          <w:color w:val="000000"/>
        </w:rPr>
      </w:pPr>
      <w:r w:rsidRPr="00CA2C15">
        <w:rPr>
          <w:rFonts w:ascii="Calibri" w:eastAsia="Arial" w:hAnsi="Calibri" w:cs="Calibri"/>
          <w:i/>
          <w:color w:val="000000"/>
        </w:rPr>
        <w:t>“An order for an interim remedy may be made at any time, including–</w:t>
      </w:r>
    </w:p>
    <w:p w14:paraId="253F2E5B" w14:textId="68867711" w:rsidR="00B935ED" w:rsidRPr="00CA2C15" w:rsidRDefault="009828D0" w:rsidP="004916C0">
      <w:pPr>
        <w:numPr>
          <w:ilvl w:val="0"/>
          <w:numId w:val="1"/>
        </w:numPr>
        <w:tabs>
          <w:tab w:val="clear" w:pos="288"/>
          <w:tab w:val="left" w:pos="1985"/>
        </w:tabs>
        <w:spacing w:after="240" w:line="360" w:lineRule="auto"/>
        <w:ind w:left="1656"/>
        <w:jc w:val="both"/>
        <w:textAlignment w:val="baseline"/>
        <w:rPr>
          <w:rFonts w:ascii="Calibri" w:eastAsia="Arial" w:hAnsi="Calibri" w:cs="Calibri"/>
          <w:i/>
          <w:color w:val="000000"/>
        </w:rPr>
      </w:pPr>
      <w:r w:rsidRPr="00CA2C15">
        <w:rPr>
          <w:rFonts w:ascii="Calibri" w:eastAsia="Arial" w:hAnsi="Calibri" w:cs="Calibri"/>
          <w:i/>
          <w:color w:val="000000"/>
        </w:rPr>
        <w:t xml:space="preserve"> </w:t>
      </w:r>
      <w:r w:rsidR="00B935ED" w:rsidRPr="00CA2C15">
        <w:rPr>
          <w:rFonts w:ascii="Calibri" w:eastAsia="Arial" w:hAnsi="Calibri" w:cs="Calibri"/>
          <w:i/>
          <w:color w:val="000000"/>
        </w:rPr>
        <w:t>before proceedings are started; and</w:t>
      </w:r>
    </w:p>
    <w:p w14:paraId="03E22FAE" w14:textId="0992B300" w:rsidR="00B935ED" w:rsidRPr="00CA2C15" w:rsidRDefault="009828D0" w:rsidP="004916C0">
      <w:pPr>
        <w:numPr>
          <w:ilvl w:val="0"/>
          <w:numId w:val="1"/>
        </w:numPr>
        <w:tabs>
          <w:tab w:val="clear" w:pos="288"/>
          <w:tab w:val="left" w:pos="1985"/>
        </w:tabs>
        <w:spacing w:after="240" w:line="360" w:lineRule="auto"/>
        <w:ind w:left="1656"/>
        <w:jc w:val="both"/>
        <w:textAlignment w:val="baseline"/>
        <w:rPr>
          <w:rFonts w:ascii="Calibri" w:eastAsia="Arial" w:hAnsi="Calibri" w:cs="Calibri"/>
          <w:i/>
          <w:color w:val="000000"/>
          <w:spacing w:val="-1"/>
        </w:rPr>
      </w:pPr>
      <w:r w:rsidRPr="00CA2C15">
        <w:rPr>
          <w:rFonts w:ascii="Calibri" w:eastAsia="Arial" w:hAnsi="Calibri" w:cs="Calibri"/>
          <w:i/>
          <w:color w:val="000000"/>
          <w:spacing w:val="-1"/>
        </w:rPr>
        <w:t xml:space="preserve"> </w:t>
      </w:r>
      <w:r w:rsidR="00B935ED" w:rsidRPr="00CA2C15">
        <w:rPr>
          <w:rFonts w:ascii="Calibri" w:eastAsia="Arial" w:hAnsi="Calibri" w:cs="Calibri"/>
          <w:i/>
          <w:color w:val="000000"/>
          <w:spacing w:val="-1"/>
        </w:rPr>
        <w:t>after judgment has been given.</w:t>
      </w:r>
    </w:p>
    <w:p w14:paraId="422E6646" w14:textId="1D486FDF" w:rsidR="00E32787" w:rsidRPr="00CA2C15" w:rsidRDefault="00B935ED" w:rsidP="00213614">
      <w:pPr>
        <w:spacing w:after="240" w:line="360" w:lineRule="auto"/>
        <w:ind w:left="864" w:right="1800"/>
        <w:jc w:val="both"/>
        <w:textAlignment w:val="baseline"/>
        <w:rPr>
          <w:rFonts w:ascii="Calibri" w:eastAsia="Arial" w:hAnsi="Calibri" w:cs="Calibri"/>
          <w:i/>
          <w:color w:val="000000"/>
        </w:rPr>
      </w:pPr>
      <w:r w:rsidRPr="00CA2C15">
        <w:rPr>
          <w:rFonts w:ascii="Calibri" w:eastAsia="Arial" w:hAnsi="Calibri" w:cs="Calibri"/>
          <w:i/>
          <w:color w:val="000000"/>
        </w:rPr>
        <w:t>(Rule 7.2 provides that proceedings are started when the</w:t>
      </w:r>
      <w:r w:rsidR="00E32787" w:rsidRPr="00CA2C15">
        <w:rPr>
          <w:rFonts w:ascii="Calibri" w:eastAsia="Arial" w:hAnsi="Calibri" w:cs="Calibri"/>
          <w:i/>
          <w:color w:val="000000"/>
        </w:rPr>
        <w:t xml:space="preserve"> </w:t>
      </w:r>
      <w:r w:rsidRPr="00CA2C15">
        <w:rPr>
          <w:rFonts w:ascii="Calibri" w:eastAsia="Arial" w:hAnsi="Calibri" w:cs="Calibri"/>
          <w:i/>
          <w:color w:val="000000"/>
        </w:rPr>
        <w:t>court issues a claim form)</w:t>
      </w:r>
    </w:p>
    <w:p w14:paraId="73E82439" w14:textId="79650438" w:rsidR="00213614" w:rsidRPr="00CA2C15" w:rsidRDefault="00B935ED" w:rsidP="00E32787">
      <w:pPr>
        <w:pStyle w:val="ListParagraph"/>
        <w:numPr>
          <w:ilvl w:val="0"/>
          <w:numId w:val="31"/>
        </w:numPr>
        <w:spacing w:after="240" w:line="360" w:lineRule="auto"/>
        <w:ind w:right="1800"/>
        <w:jc w:val="both"/>
        <w:textAlignment w:val="baseline"/>
        <w:rPr>
          <w:rFonts w:ascii="Calibri" w:eastAsia="Arial" w:hAnsi="Calibri" w:cs="Calibri"/>
          <w:i/>
          <w:color w:val="000000"/>
        </w:rPr>
      </w:pPr>
      <w:r w:rsidRPr="00CA2C15">
        <w:rPr>
          <w:rFonts w:ascii="Calibri" w:eastAsia="Arial" w:hAnsi="Calibri" w:cs="Calibri"/>
          <w:i/>
          <w:color w:val="000000"/>
        </w:rPr>
        <w:t xml:space="preserve"> However –</w:t>
      </w:r>
    </w:p>
    <w:p w14:paraId="70222A72" w14:textId="70272FC6" w:rsidR="001701D3" w:rsidRPr="00CA2C15" w:rsidRDefault="001701D3" w:rsidP="00522AD6">
      <w:pPr>
        <w:pStyle w:val="ListParagraph"/>
        <w:numPr>
          <w:ilvl w:val="0"/>
          <w:numId w:val="14"/>
        </w:numPr>
        <w:tabs>
          <w:tab w:val="clear" w:pos="1835"/>
          <w:tab w:val="num" w:pos="2548"/>
        </w:tabs>
        <w:spacing w:after="240" w:line="360" w:lineRule="auto"/>
        <w:ind w:right="1800"/>
        <w:jc w:val="both"/>
        <w:textAlignment w:val="baseline"/>
        <w:rPr>
          <w:rFonts w:ascii="Calibri" w:eastAsia="Arial" w:hAnsi="Calibri" w:cs="Calibri"/>
          <w:i/>
          <w:color w:val="000000"/>
        </w:rPr>
      </w:pPr>
      <w:r w:rsidRPr="00CA2C15">
        <w:rPr>
          <w:rFonts w:ascii="Calibri" w:eastAsia="Arial" w:hAnsi="Calibri" w:cs="Calibri"/>
          <w:i/>
          <w:color w:val="000000"/>
        </w:rPr>
        <w:t>paragraph (1) is subject to any rule, practice direction or other enactment which provides otherwise;</w:t>
      </w:r>
    </w:p>
    <w:p w14:paraId="5A59749C" w14:textId="3B1734CF" w:rsidR="00213614" w:rsidRPr="00CA2C15" w:rsidRDefault="00B935ED" w:rsidP="004916C0">
      <w:pPr>
        <w:pStyle w:val="ListParagraph"/>
        <w:numPr>
          <w:ilvl w:val="0"/>
          <w:numId w:val="14"/>
        </w:numPr>
        <w:tabs>
          <w:tab w:val="clear" w:pos="1835"/>
          <w:tab w:val="left" w:pos="1985"/>
        </w:tabs>
        <w:spacing w:after="240" w:line="360" w:lineRule="auto"/>
        <w:ind w:left="1985" w:hanging="425"/>
        <w:jc w:val="both"/>
        <w:textAlignment w:val="baseline"/>
        <w:rPr>
          <w:rFonts w:ascii="Calibri" w:eastAsia="Arial" w:hAnsi="Calibri" w:cs="Calibri"/>
          <w:i/>
          <w:color w:val="000000"/>
        </w:rPr>
      </w:pPr>
      <w:r w:rsidRPr="00CA2C15">
        <w:rPr>
          <w:rFonts w:ascii="Calibri" w:eastAsia="Arial" w:hAnsi="Calibri" w:cs="Calibri"/>
          <w:i/>
          <w:color w:val="000000"/>
        </w:rPr>
        <w:t xml:space="preserve"> the court may grant an interim remedy before a claim has been made only if –</w:t>
      </w:r>
    </w:p>
    <w:p w14:paraId="1FCF86C5" w14:textId="49DD1A89" w:rsidR="00213614" w:rsidRPr="00CA2C15" w:rsidRDefault="00B935ED" w:rsidP="004916C0">
      <w:pPr>
        <w:pStyle w:val="ListParagraph"/>
        <w:numPr>
          <w:ilvl w:val="0"/>
          <w:numId w:val="13"/>
        </w:numPr>
        <w:tabs>
          <w:tab w:val="clear" w:pos="2646"/>
          <w:tab w:val="left" w:pos="1134"/>
          <w:tab w:val="left" w:pos="2694"/>
        </w:tabs>
        <w:spacing w:after="240" w:line="360" w:lineRule="auto"/>
        <w:ind w:firstLine="1265"/>
        <w:jc w:val="both"/>
        <w:textAlignment w:val="baseline"/>
        <w:rPr>
          <w:rFonts w:ascii="Calibri" w:eastAsia="Arial" w:hAnsi="Calibri" w:cs="Calibri"/>
          <w:i/>
          <w:color w:val="000000"/>
        </w:rPr>
      </w:pPr>
      <w:r w:rsidRPr="00CA2C15">
        <w:rPr>
          <w:rFonts w:ascii="Calibri" w:eastAsia="Arial" w:hAnsi="Calibri" w:cs="Calibri"/>
          <w:i/>
          <w:color w:val="000000"/>
        </w:rPr>
        <w:t>the matter is urgent; or</w:t>
      </w:r>
    </w:p>
    <w:p w14:paraId="6A523FEB" w14:textId="6836F7DB" w:rsidR="00213614" w:rsidRPr="00CA2C15" w:rsidRDefault="00B935ED" w:rsidP="004916C0">
      <w:pPr>
        <w:pStyle w:val="ListParagraph"/>
        <w:numPr>
          <w:ilvl w:val="0"/>
          <w:numId w:val="13"/>
        </w:numPr>
        <w:tabs>
          <w:tab w:val="clear" w:pos="2646"/>
          <w:tab w:val="left" w:pos="648"/>
          <w:tab w:val="left" w:pos="1152"/>
          <w:tab w:val="left" w:pos="2694"/>
        </w:tabs>
        <w:spacing w:after="240" w:line="360" w:lineRule="auto"/>
        <w:ind w:firstLine="1265"/>
        <w:jc w:val="both"/>
        <w:textAlignment w:val="baseline"/>
        <w:rPr>
          <w:rFonts w:ascii="Calibri" w:eastAsia="Arial" w:hAnsi="Calibri" w:cs="Calibri"/>
          <w:i/>
          <w:color w:val="000000"/>
        </w:rPr>
      </w:pPr>
      <w:r w:rsidRPr="00CA2C15">
        <w:rPr>
          <w:rFonts w:ascii="Calibri" w:eastAsia="Arial" w:hAnsi="Calibri" w:cs="Calibri"/>
          <w:i/>
          <w:color w:val="000000"/>
        </w:rPr>
        <w:t>it is otherwise desirable to do so in the interests of justice;</w:t>
      </w:r>
    </w:p>
    <w:p w14:paraId="26914895" w14:textId="006B92A2" w:rsidR="00B935ED" w:rsidRPr="00CA2C15" w:rsidRDefault="00B935ED" w:rsidP="00FD7210">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formal test applied when interim relief is sought in judicial review is the same as </w:t>
      </w:r>
      <w:r w:rsidRPr="00CA2C15">
        <w:rPr>
          <w:rFonts w:ascii="Calibri" w:eastAsia="Times New Roman" w:hAnsi="Calibri" w:cs="Calibri"/>
          <w:sz w:val="24"/>
          <w:szCs w:val="20"/>
          <w:lang w:val="en-GB"/>
        </w:rPr>
        <w:t>in</w:t>
      </w:r>
      <w:r w:rsidRPr="00CA2C15">
        <w:rPr>
          <w:rFonts w:ascii="Calibri" w:eastAsia="Arial" w:hAnsi="Calibri" w:cs="Calibri"/>
          <w:color w:val="000000"/>
          <w:sz w:val="24"/>
          <w:szCs w:val="24"/>
        </w:rPr>
        <w:t xml:space="preserve"> private law claims: ‘the balance of convenience’ (see </w:t>
      </w:r>
      <w:r w:rsidRPr="00CA2C15">
        <w:rPr>
          <w:rFonts w:ascii="Calibri" w:eastAsia="Arial" w:hAnsi="Calibri" w:cs="Calibri"/>
          <w:i/>
          <w:iCs/>
          <w:color w:val="000000"/>
          <w:sz w:val="24"/>
          <w:szCs w:val="24"/>
        </w:rPr>
        <w:t>BACONGO v. Dept of Environment of Belize</w:t>
      </w:r>
      <w:r w:rsidRPr="00CA2C15">
        <w:rPr>
          <w:rFonts w:ascii="Calibri" w:eastAsia="Arial" w:hAnsi="Calibri" w:cs="Calibri"/>
          <w:color w:val="000000"/>
          <w:sz w:val="24"/>
          <w:szCs w:val="24"/>
        </w:rPr>
        <w:t xml:space="preserve"> [2003] 1 WLR 2839). The balance of convenience test involves considering whether the </w:t>
      </w:r>
      <w:r w:rsidR="00CE5688"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has a prima facie/ arguable case, and considering where the greatest risk of injustice lies depending upon which party is ultimately successful.</w:t>
      </w:r>
    </w:p>
    <w:p w14:paraId="2E9A3DC4" w14:textId="2293344D" w:rsidR="00B935ED" w:rsidRPr="00CA2C15" w:rsidRDefault="00B935ED" w:rsidP="00FD7210">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There are some contradictory dicta regarding whether the first question is only whether or not the </w:t>
      </w:r>
      <w:r w:rsidR="00CE5688"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has a prima facie case. For example, in </w:t>
      </w:r>
      <w:r w:rsidRPr="00CA2C15">
        <w:rPr>
          <w:rFonts w:ascii="Calibri" w:eastAsia="Arial" w:hAnsi="Calibri" w:cs="Calibri"/>
          <w:i/>
          <w:iCs/>
          <w:color w:val="000000"/>
          <w:sz w:val="24"/>
          <w:szCs w:val="24"/>
        </w:rPr>
        <w:t>Francis v. RB of Kensington and Chelsea</w:t>
      </w:r>
      <w:r w:rsidRPr="00CA2C15">
        <w:rPr>
          <w:rFonts w:ascii="Calibri" w:eastAsia="Arial" w:hAnsi="Calibri" w:cs="Calibri"/>
          <w:color w:val="000000"/>
          <w:sz w:val="24"/>
          <w:szCs w:val="24"/>
        </w:rPr>
        <w:t xml:space="preserve"> [2003] 1 WLR 2248 it is suggested that a strong </w:t>
      </w:r>
      <w:r w:rsidRPr="00CA2C15">
        <w:rPr>
          <w:rFonts w:ascii="Calibri" w:eastAsia="Times New Roman" w:hAnsi="Calibri" w:cs="Calibri"/>
          <w:sz w:val="24"/>
          <w:szCs w:val="20"/>
          <w:lang w:val="en-GB"/>
        </w:rPr>
        <w:t>prima</w:t>
      </w:r>
      <w:r w:rsidRPr="00CA2C15">
        <w:rPr>
          <w:rFonts w:ascii="Calibri" w:eastAsia="Arial" w:hAnsi="Calibri" w:cs="Calibri"/>
          <w:color w:val="000000"/>
          <w:sz w:val="24"/>
          <w:szCs w:val="24"/>
        </w:rPr>
        <w:t xml:space="preserve"> facie case is required, which is a higher threshold, and some </w:t>
      </w:r>
      <w:r w:rsidR="00F63B54"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udges do in practice apply a higher test when considering whether or not to grant a positive injunction (i.e. requiring a </w:t>
      </w:r>
      <w:r w:rsidR="00CE5688"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to do something) rather than a negative injunction.</w:t>
      </w:r>
    </w:p>
    <w:p w14:paraId="6E406689" w14:textId="19F33E0F" w:rsidR="00B935ED" w:rsidRPr="00CA2C15" w:rsidRDefault="00B935ED" w:rsidP="00FD7210">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When considering where the greatest risk of injustice lies, the </w:t>
      </w:r>
      <w:r w:rsidR="008D5B46"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 considering and determining the urgent application is of course under a duty to act consistently with the </w:t>
      </w:r>
      <w:r w:rsidR="00CE5688" w:rsidRPr="00CA2C15">
        <w:rPr>
          <w:rFonts w:ascii="Calibri" w:eastAsia="Arial" w:hAnsi="Calibri" w:cs="Calibri"/>
          <w:color w:val="000000"/>
          <w:sz w:val="24"/>
          <w:szCs w:val="24"/>
        </w:rPr>
        <w:t>s</w:t>
      </w:r>
      <w:r w:rsidRPr="00CA2C15">
        <w:rPr>
          <w:rFonts w:ascii="Calibri" w:eastAsia="Arial" w:hAnsi="Calibri" w:cs="Calibri"/>
          <w:color w:val="000000"/>
          <w:sz w:val="24"/>
          <w:szCs w:val="24"/>
        </w:rPr>
        <w:t>tate’s human rights obligations. By virtue of s. 6(1) of the Human Rights Act 1998 (‘HRA’), it is unlawful for a public authority to act in a way which is incompatible with a right</w:t>
      </w:r>
      <w:r w:rsidR="00D450F8" w:rsidRPr="00CA2C15">
        <w:rPr>
          <w:rFonts w:ascii="Calibri" w:eastAsia="Arial" w:hAnsi="Calibri" w:cs="Calibri"/>
          <w:color w:val="000000"/>
          <w:sz w:val="24"/>
          <w:szCs w:val="24"/>
        </w:rPr>
        <w:t xml:space="preserve"> under the European Convention on Human Rights (‘the Convention’)</w:t>
      </w:r>
      <w:r w:rsidRPr="00CA2C15">
        <w:rPr>
          <w:rFonts w:ascii="Calibri" w:eastAsia="Arial" w:hAnsi="Calibri" w:cs="Calibri"/>
          <w:color w:val="000000"/>
          <w:sz w:val="24"/>
          <w:szCs w:val="24"/>
        </w:rPr>
        <w:t xml:space="preserve">. ‘Public authority’ includes a court or tribunal (s. 6(3)(a)) and ‘an act’ includes a failure to act (s. 6(6)). Where the </w:t>
      </w:r>
      <w:r w:rsidR="00D450F8"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claims that </w:t>
      </w:r>
      <w:r w:rsidR="008D5B46" w:rsidRPr="00CA2C15">
        <w:rPr>
          <w:rFonts w:ascii="Calibri" w:eastAsia="Arial" w:hAnsi="Calibri" w:cs="Calibri"/>
          <w:color w:val="000000"/>
          <w:sz w:val="24"/>
          <w:szCs w:val="24"/>
        </w:rPr>
        <w:t>their</w:t>
      </w:r>
      <w:r w:rsidRPr="00CA2C15">
        <w:rPr>
          <w:rFonts w:ascii="Calibri" w:eastAsia="Arial" w:hAnsi="Calibri" w:cs="Calibri"/>
          <w:color w:val="000000"/>
          <w:sz w:val="24"/>
          <w:szCs w:val="24"/>
        </w:rPr>
        <w:t xml:space="preserve"> human rights are being infringed on a continuing basis and granting interim relief will not be determinative of the final outcome or infringe any other party’s rights, interim relief will ordinarily be appropriate (unless clearly unfounded, or unless the </w:t>
      </w:r>
      <w:r w:rsidR="00773C96"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needs to hear from the other side first and the issue can wait for a short time until that happens). This reflects the usual practice of the Administrative Court, which protects the position of </w:t>
      </w:r>
      <w:r w:rsidR="00773C96"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efendants by including ‘liberty to apply to discharge or vary the </w:t>
      </w:r>
      <w:r w:rsidR="00773C96" w:rsidRPr="00CA2C15">
        <w:rPr>
          <w:rFonts w:ascii="Calibri" w:eastAsia="Arial" w:hAnsi="Calibri" w:cs="Calibri"/>
          <w:color w:val="000000"/>
          <w:sz w:val="24"/>
          <w:szCs w:val="24"/>
        </w:rPr>
        <w:t>o</w:t>
      </w:r>
      <w:r w:rsidRPr="00CA2C15">
        <w:rPr>
          <w:rFonts w:ascii="Calibri" w:eastAsia="Arial" w:hAnsi="Calibri" w:cs="Calibri"/>
          <w:color w:val="000000"/>
          <w:sz w:val="24"/>
          <w:szCs w:val="24"/>
        </w:rPr>
        <w:t xml:space="preserve">rder’ in its interim </w:t>
      </w:r>
      <w:r w:rsidR="00773C96" w:rsidRPr="00CA2C15">
        <w:rPr>
          <w:rFonts w:ascii="Calibri" w:eastAsia="Arial" w:hAnsi="Calibri" w:cs="Calibri"/>
          <w:color w:val="000000"/>
          <w:sz w:val="24"/>
          <w:szCs w:val="24"/>
        </w:rPr>
        <w:t>o</w:t>
      </w:r>
      <w:r w:rsidRPr="00CA2C15">
        <w:rPr>
          <w:rFonts w:ascii="Calibri" w:eastAsia="Arial" w:hAnsi="Calibri" w:cs="Calibri"/>
          <w:color w:val="000000"/>
          <w:sz w:val="24"/>
          <w:szCs w:val="24"/>
        </w:rPr>
        <w:t>rder.</w:t>
      </w:r>
    </w:p>
    <w:p w14:paraId="392D27ED" w14:textId="546DD820" w:rsidR="00F17423" w:rsidRPr="00CA2C15" w:rsidRDefault="00B935ED" w:rsidP="00080E90">
      <w:pPr>
        <w:numPr>
          <w:ilvl w:val="0"/>
          <w:numId w:val="4"/>
        </w:numPr>
        <w:tabs>
          <w:tab w:val="num" w:pos="2143"/>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There is a specific form for making an application for urgent consideration which is used both for when the application for interim relief is being made at the same time as the claim for judicial review, and also for any urgent interlocutory applications made after the claim is issued – form N463</w:t>
      </w:r>
      <w:r w:rsidR="00B663ED" w:rsidRPr="00CA2C15">
        <w:rPr>
          <w:rFonts w:ascii="Calibri" w:hAnsi="Calibri" w:cs="Calibri"/>
          <w:sz w:val="24"/>
          <w:szCs w:val="24"/>
        </w:rPr>
        <w:t xml:space="preserve"> </w:t>
      </w:r>
      <w:r w:rsidR="00B663ED" w:rsidRPr="00CA2C15">
        <w:rPr>
          <w:rFonts w:ascii="Calibri" w:eastAsia="Arial" w:hAnsi="Calibri" w:cs="Calibri"/>
          <w:color w:val="000000"/>
          <w:sz w:val="24"/>
          <w:szCs w:val="24"/>
        </w:rPr>
        <w:t xml:space="preserve">(the equivalent in the </w:t>
      </w:r>
      <w:r w:rsidR="00B663ED" w:rsidRPr="00CA2C15">
        <w:rPr>
          <w:rFonts w:ascii="Calibri" w:eastAsia="Times New Roman" w:hAnsi="Calibri" w:cs="Calibri"/>
          <w:sz w:val="24"/>
          <w:szCs w:val="20"/>
          <w:lang w:val="en-GB"/>
        </w:rPr>
        <w:t>UTIAC</w:t>
      </w:r>
      <w:r w:rsidR="00B663ED" w:rsidRPr="00CA2C15">
        <w:rPr>
          <w:rFonts w:ascii="Calibri" w:eastAsia="Arial" w:hAnsi="Calibri" w:cs="Calibri"/>
          <w:color w:val="000000"/>
          <w:sz w:val="24"/>
          <w:szCs w:val="24"/>
        </w:rPr>
        <w:t xml:space="preserve"> are UTIAC4 and UTIAC5).</w:t>
      </w:r>
      <w:r w:rsidRPr="00CA2C15">
        <w:rPr>
          <w:rFonts w:ascii="Calibri" w:eastAsia="Arial" w:hAnsi="Calibri" w:cs="Calibri"/>
          <w:color w:val="000000"/>
          <w:sz w:val="24"/>
          <w:szCs w:val="24"/>
        </w:rPr>
        <w:t xml:space="preserve"> Th</w:t>
      </w:r>
      <w:r w:rsidR="00F15177" w:rsidRPr="00CA2C15">
        <w:rPr>
          <w:rFonts w:ascii="Calibri" w:eastAsia="Arial" w:hAnsi="Calibri" w:cs="Calibri"/>
          <w:color w:val="000000"/>
          <w:sz w:val="24"/>
          <w:szCs w:val="24"/>
        </w:rPr>
        <w:t>ese forms</w:t>
      </w:r>
      <w:r w:rsidRPr="00CA2C15">
        <w:rPr>
          <w:rFonts w:ascii="Calibri" w:eastAsia="Arial" w:hAnsi="Calibri" w:cs="Calibri"/>
          <w:color w:val="000000"/>
          <w:sz w:val="24"/>
          <w:szCs w:val="24"/>
        </w:rPr>
        <w:t xml:space="preserve"> must be prepared along with a draft </w:t>
      </w:r>
      <w:r w:rsidR="00F15177" w:rsidRPr="00CA2C15">
        <w:rPr>
          <w:rFonts w:ascii="Calibri" w:eastAsia="Arial" w:hAnsi="Calibri" w:cs="Calibri"/>
          <w:color w:val="000000"/>
          <w:sz w:val="24"/>
          <w:szCs w:val="24"/>
        </w:rPr>
        <w:t>o</w:t>
      </w:r>
      <w:r w:rsidRPr="00CA2C15">
        <w:rPr>
          <w:rFonts w:ascii="Calibri" w:eastAsia="Arial" w:hAnsi="Calibri" w:cs="Calibri"/>
          <w:color w:val="000000"/>
          <w:sz w:val="24"/>
          <w:szCs w:val="24"/>
        </w:rPr>
        <w:t xml:space="preserve">rder which sets out what you are seeking. The form is only to be used where the application needs to be considered within 7 days. If the application does not require consideration within 7 days then you should either make the application on the N461 claim form (if making an application at the time of issuing the claim) or on form N244 (after the claim is issued). Urgent applications can be made ‘on the papers’ during </w:t>
      </w:r>
      <w:r w:rsidR="00A52366"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hours, or out of hours when the </w:t>
      </w:r>
      <w:r w:rsidR="00A52366"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is closed, by telephone to the out-of-hours </w:t>
      </w:r>
      <w:r w:rsidR="00A52366" w:rsidRPr="00CA2C15">
        <w:rPr>
          <w:rFonts w:ascii="Calibri" w:eastAsia="Arial" w:hAnsi="Calibri" w:cs="Calibri"/>
          <w:color w:val="000000"/>
          <w:sz w:val="24"/>
          <w:szCs w:val="24"/>
        </w:rPr>
        <w:t>j</w:t>
      </w:r>
      <w:r w:rsidRPr="00CA2C15">
        <w:rPr>
          <w:rFonts w:ascii="Calibri" w:eastAsia="Arial" w:hAnsi="Calibri" w:cs="Calibri"/>
          <w:color w:val="000000"/>
          <w:sz w:val="24"/>
          <w:szCs w:val="24"/>
        </w:rPr>
        <w:t>udge. You must state on the N463 form how quickly the N463 application must be considered and whether it should be considered immediately (within 3 days) or urgently (in 3 to 6 days). You must also state on the N463 form the nature and timeframe of consideration sought –</w:t>
      </w:r>
      <w:r w:rsidR="00DC6662"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e.g. how quickly should one or more of the following be considered: interim relief; abridgment of time for the AoS; consideration of permission; or, if permission is granted, the substantive hearing.</w:t>
      </w:r>
    </w:p>
    <w:p w14:paraId="2B19CCBE" w14:textId="3597DDD4" w:rsidR="00534B8A" w:rsidRPr="00CA2C15" w:rsidRDefault="00936C85" w:rsidP="00080E90">
      <w:pPr>
        <w:numPr>
          <w:ilvl w:val="0"/>
          <w:numId w:val="4"/>
        </w:numPr>
        <w:tabs>
          <w:tab w:val="num" w:pos="2143"/>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While it is always preferable to apply for interim relief at the same time as lodging the claim papers, t</w:t>
      </w:r>
      <w:r w:rsidR="00534B8A" w:rsidRPr="00CA2C15">
        <w:rPr>
          <w:rFonts w:ascii="Calibri" w:eastAsia="Arial" w:hAnsi="Calibri" w:cs="Calibri"/>
          <w:color w:val="000000"/>
          <w:sz w:val="24"/>
          <w:szCs w:val="24"/>
        </w:rPr>
        <w:t>here may</w:t>
      </w:r>
      <w:r w:rsidR="00E96A66" w:rsidRPr="00CA2C15">
        <w:rPr>
          <w:rFonts w:ascii="Calibri" w:eastAsia="Arial" w:hAnsi="Calibri" w:cs="Calibri"/>
          <w:color w:val="000000"/>
          <w:sz w:val="24"/>
          <w:szCs w:val="24"/>
        </w:rPr>
        <w:t xml:space="preserve"> very exceptionally</w:t>
      </w:r>
      <w:r w:rsidR="00534B8A" w:rsidRPr="00CA2C15">
        <w:rPr>
          <w:rFonts w:ascii="Calibri" w:eastAsia="Arial" w:hAnsi="Calibri" w:cs="Calibri"/>
          <w:color w:val="000000"/>
          <w:sz w:val="24"/>
          <w:szCs w:val="24"/>
        </w:rPr>
        <w:t xml:space="preserve"> be instances when the application is so urgent</w:t>
      </w:r>
      <w:r w:rsidR="005C210E" w:rsidRPr="00CA2C15">
        <w:rPr>
          <w:rFonts w:ascii="Calibri" w:eastAsia="Arial" w:hAnsi="Calibri" w:cs="Calibri"/>
          <w:color w:val="000000"/>
          <w:sz w:val="24"/>
          <w:szCs w:val="24"/>
        </w:rPr>
        <w:t>, that</w:t>
      </w:r>
      <w:r w:rsidR="00E96A66" w:rsidRPr="00CA2C15">
        <w:rPr>
          <w:rFonts w:ascii="Calibri" w:eastAsia="Arial" w:hAnsi="Calibri" w:cs="Calibri"/>
          <w:color w:val="000000"/>
          <w:sz w:val="24"/>
          <w:szCs w:val="24"/>
        </w:rPr>
        <w:t xml:space="preserve"> you need to make </w:t>
      </w:r>
      <w:r w:rsidRPr="00CA2C15">
        <w:rPr>
          <w:rFonts w:ascii="Calibri" w:eastAsia="Arial" w:hAnsi="Calibri" w:cs="Calibri"/>
          <w:color w:val="000000"/>
          <w:sz w:val="24"/>
          <w:szCs w:val="24"/>
        </w:rPr>
        <w:t>the application</w:t>
      </w:r>
      <w:r w:rsidR="00E96A66" w:rsidRPr="00CA2C15">
        <w:rPr>
          <w:rFonts w:ascii="Calibri" w:eastAsia="Arial" w:hAnsi="Calibri" w:cs="Calibri"/>
          <w:color w:val="000000"/>
          <w:sz w:val="24"/>
          <w:szCs w:val="24"/>
        </w:rPr>
        <w:t xml:space="preserve"> prior to issuing the claim</w:t>
      </w:r>
      <w:r w:rsidRPr="00CA2C15">
        <w:rPr>
          <w:rFonts w:ascii="Calibri" w:eastAsia="Arial" w:hAnsi="Calibri" w:cs="Calibri"/>
          <w:color w:val="000000"/>
          <w:sz w:val="24"/>
          <w:szCs w:val="24"/>
        </w:rPr>
        <w:t xml:space="preserve"> including </w:t>
      </w:r>
      <w:r w:rsidR="00E96A66" w:rsidRPr="00CA2C15">
        <w:rPr>
          <w:rFonts w:ascii="Calibri" w:eastAsia="Arial" w:hAnsi="Calibri" w:cs="Calibri"/>
          <w:color w:val="000000"/>
          <w:sz w:val="24"/>
          <w:szCs w:val="24"/>
        </w:rPr>
        <w:t>where you need to make the application to an out of hours judge when the court office is closed.</w:t>
      </w:r>
      <w:r w:rsidR="00312792" w:rsidRPr="00CA2C15">
        <w:rPr>
          <w:rFonts w:ascii="Calibri" w:eastAsia="Arial" w:hAnsi="Calibri" w:cs="Calibri"/>
          <w:color w:val="000000"/>
          <w:sz w:val="24"/>
          <w:szCs w:val="24"/>
        </w:rPr>
        <w:t xml:space="preserve"> </w:t>
      </w:r>
      <w:r w:rsidR="006B3946" w:rsidRPr="00CA2C15">
        <w:rPr>
          <w:rFonts w:ascii="Calibri" w:eastAsia="Arial" w:hAnsi="Calibri" w:cs="Calibri"/>
          <w:color w:val="000000"/>
          <w:sz w:val="24"/>
          <w:szCs w:val="24"/>
        </w:rPr>
        <w:t xml:space="preserve">The procedure for doing so is the same as where the application is being made at the time of filing the claim or after the claim has been issued. However, </w:t>
      </w:r>
      <w:r w:rsidR="001230DB" w:rsidRPr="00CA2C15">
        <w:rPr>
          <w:rFonts w:ascii="Calibri" w:eastAsia="Arial" w:hAnsi="Calibri" w:cs="Calibri"/>
          <w:color w:val="000000"/>
          <w:sz w:val="24"/>
          <w:szCs w:val="24"/>
        </w:rPr>
        <w:t xml:space="preserve">the claimant will generally be required to undertake to file a Claim Form and grounds of claim, usually within a short period of </w:t>
      </w:r>
      <w:r w:rsidR="006101D9" w:rsidRPr="00CA2C15">
        <w:rPr>
          <w:rFonts w:ascii="Calibri" w:eastAsia="Arial" w:hAnsi="Calibri" w:cs="Calibri"/>
          <w:color w:val="000000"/>
          <w:sz w:val="24"/>
          <w:szCs w:val="24"/>
        </w:rPr>
        <w:t>applying for interim relief</w:t>
      </w:r>
      <w:r w:rsidR="001230DB" w:rsidRPr="00CA2C15">
        <w:rPr>
          <w:rFonts w:ascii="Calibri" w:eastAsia="Arial" w:hAnsi="Calibri" w:cs="Calibri"/>
          <w:color w:val="000000"/>
          <w:sz w:val="24"/>
          <w:szCs w:val="24"/>
        </w:rPr>
        <w:t>, or, if no satisfactory undertaking is offered, will be directed by the court to do so</w:t>
      </w:r>
      <w:r w:rsidR="006101D9" w:rsidRPr="00CA2C15">
        <w:rPr>
          <w:rFonts w:ascii="Calibri" w:eastAsia="Arial" w:hAnsi="Calibri" w:cs="Calibri"/>
          <w:color w:val="000000"/>
          <w:sz w:val="24"/>
          <w:szCs w:val="24"/>
        </w:rPr>
        <w:t>.</w:t>
      </w:r>
      <w:r w:rsidR="006101D9" w:rsidRPr="00CA2C15">
        <w:rPr>
          <w:rStyle w:val="FootnoteReference"/>
          <w:rFonts w:ascii="Calibri" w:eastAsia="Arial" w:hAnsi="Calibri" w:cs="Calibri"/>
          <w:color w:val="000000"/>
          <w:sz w:val="24"/>
          <w:szCs w:val="24"/>
        </w:rPr>
        <w:footnoteReference w:id="17"/>
      </w:r>
    </w:p>
    <w:p w14:paraId="630149B8" w14:textId="163244A9" w:rsidR="00B935ED" w:rsidRPr="00CA2C15" w:rsidRDefault="00102183" w:rsidP="00102183">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N</w:t>
      </w:r>
      <w:r w:rsidR="00B935ED" w:rsidRPr="00CA2C15">
        <w:rPr>
          <w:rFonts w:ascii="Calibri" w:eastAsia="Arial" w:hAnsi="Calibri" w:cs="Calibri"/>
          <w:color w:val="000000"/>
          <w:sz w:val="24"/>
          <w:szCs w:val="24"/>
        </w:rPr>
        <w:t>ote that the N463 includes questions regarding the reasons for urgency, when you first learned of the need for an urgent application and what steps were then taken, and the reasons for any delay in making the application, so it is essential that you both act as speedily as possible, and retain a strong ‘paper trail’ of your actions.</w:t>
      </w:r>
    </w:p>
    <w:p w14:paraId="685DB8D6" w14:textId="348A769C" w:rsidR="00DC6662" w:rsidRPr="00CA2C15" w:rsidRDefault="00B935ED" w:rsidP="00102183">
      <w:pPr>
        <w:numPr>
          <w:ilvl w:val="0"/>
          <w:numId w:val="4"/>
        </w:numPr>
        <w:tabs>
          <w:tab w:val="num" w:pos="1430"/>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The strength of an urgent application for interim relief is often determined by how well the ground has been prepared in correspondence, so ensure you have a good </w:t>
      </w:r>
      <w:r w:rsidRPr="00CA2C15">
        <w:rPr>
          <w:rFonts w:ascii="Calibri" w:eastAsia="Times New Roman" w:hAnsi="Calibri" w:cs="Calibri"/>
          <w:sz w:val="24"/>
          <w:szCs w:val="20"/>
          <w:lang w:val="en-GB"/>
        </w:rPr>
        <w:t>paper</w:t>
      </w:r>
      <w:r w:rsidRPr="00CA2C15">
        <w:rPr>
          <w:rFonts w:ascii="Calibri" w:eastAsia="Arial" w:hAnsi="Calibri" w:cs="Calibri"/>
          <w:color w:val="000000"/>
          <w:spacing w:val="-2"/>
          <w:sz w:val="24"/>
          <w:szCs w:val="24"/>
        </w:rPr>
        <w:t xml:space="preserve"> trail. In almost all </w:t>
      </w:r>
      <w:r w:rsidRPr="00CA2C15">
        <w:rPr>
          <w:rFonts w:ascii="Calibri" w:eastAsia="Arial" w:hAnsi="Calibri" w:cs="Calibri"/>
          <w:color w:val="000000"/>
          <w:sz w:val="24"/>
          <w:szCs w:val="24"/>
        </w:rPr>
        <w:t>cases</w:t>
      </w:r>
      <w:r w:rsidRPr="00CA2C15">
        <w:rPr>
          <w:rFonts w:ascii="Calibri" w:eastAsia="Arial" w:hAnsi="Calibri" w:cs="Calibri"/>
          <w:color w:val="000000"/>
          <w:spacing w:val="-2"/>
          <w:sz w:val="24"/>
          <w:szCs w:val="24"/>
        </w:rPr>
        <w:t xml:space="preserve"> it will be possible to send a </w:t>
      </w:r>
      <w:r w:rsidR="00EA43A9" w:rsidRPr="00CA2C15">
        <w:rPr>
          <w:rFonts w:ascii="Calibri" w:eastAsia="Arial" w:hAnsi="Calibri" w:cs="Calibri"/>
          <w:color w:val="000000"/>
          <w:spacing w:val="-2"/>
          <w:sz w:val="24"/>
          <w:szCs w:val="24"/>
        </w:rPr>
        <w:t>pre-action letter</w:t>
      </w:r>
      <w:r w:rsidRPr="00CA2C15">
        <w:rPr>
          <w:rFonts w:ascii="Calibri" w:eastAsia="Arial" w:hAnsi="Calibri" w:cs="Calibri"/>
          <w:color w:val="000000"/>
          <w:spacing w:val="-2"/>
          <w:sz w:val="24"/>
          <w:szCs w:val="24"/>
        </w:rPr>
        <w:t xml:space="preserve"> even if you are only giving a very short time for a response. Ensure you confirm</w:t>
      </w:r>
      <w:r w:rsidR="00DC6662" w:rsidRPr="00CA2C15">
        <w:rPr>
          <w:rFonts w:ascii="Calibri" w:eastAsia="Arial" w:hAnsi="Calibri" w:cs="Calibri"/>
          <w:color w:val="000000"/>
          <w:spacing w:val="-2"/>
          <w:sz w:val="24"/>
          <w:szCs w:val="24"/>
        </w:rPr>
        <w:t xml:space="preserve"> </w:t>
      </w:r>
      <w:r w:rsidRPr="00CA2C15">
        <w:rPr>
          <w:rFonts w:ascii="Calibri" w:eastAsia="Arial" w:hAnsi="Calibri" w:cs="Calibri"/>
          <w:color w:val="000000"/>
          <w:sz w:val="24"/>
          <w:szCs w:val="24"/>
        </w:rPr>
        <w:t xml:space="preserve">that the letter has been received. Ensure that you ‘chase’ a response by telephone but also record these efforts in writing, e.g. with follow-up emails. If you can show that the </w:t>
      </w:r>
      <w:r w:rsidR="004F7532"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has ignored repeated efforts by you to engage in a serious discussion of the case, or even respond to your correspondence, that will be a key point in your application. It is also essential that you provide the </w:t>
      </w:r>
      <w:r w:rsidR="004F7532"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with an opportunity to agree to provide the interim relief you seek, or to explain its position for refusing to do so.</w:t>
      </w:r>
    </w:p>
    <w:p w14:paraId="3472AA82" w14:textId="14617815"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pacing w:val="-2"/>
          <w:sz w:val="24"/>
          <w:szCs w:val="24"/>
        </w:rPr>
      </w:pPr>
      <w:r w:rsidRPr="00CA2C15">
        <w:rPr>
          <w:rFonts w:ascii="Calibri" w:eastAsia="Arial" w:hAnsi="Calibri" w:cs="Calibri"/>
          <w:b/>
          <w:bCs/>
          <w:color w:val="000000"/>
          <w:spacing w:val="-2"/>
          <w:sz w:val="24"/>
          <w:szCs w:val="24"/>
        </w:rPr>
        <w:t>Assessing Urgency</w:t>
      </w:r>
    </w:p>
    <w:p w14:paraId="2E041186" w14:textId="59CBC181" w:rsidR="00B935ED" w:rsidRPr="00CA2C15" w:rsidRDefault="00B935ED" w:rsidP="004F7532">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When you lodge urgent judicial review proceedings together with the N463 and draft </w:t>
      </w:r>
      <w:r w:rsidR="004F7532" w:rsidRPr="00CA2C15">
        <w:rPr>
          <w:rFonts w:ascii="Calibri" w:eastAsia="Arial" w:hAnsi="Calibri" w:cs="Calibri"/>
          <w:color w:val="000000"/>
          <w:sz w:val="24"/>
          <w:szCs w:val="24"/>
        </w:rPr>
        <w:t>o</w:t>
      </w:r>
      <w:r w:rsidRPr="00CA2C15">
        <w:rPr>
          <w:rFonts w:ascii="Calibri" w:eastAsia="Arial" w:hAnsi="Calibri" w:cs="Calibri"/>
          <w:color w:val="000000"/>
          <w:sz w:val="24"/>
          <w:szCs w:val="24"/>
        </w:rPr>
        <w:t xml:space="preserve">rder, you will need to tell the </w:t>
      </w:r>
      <w:r w:rsidR="004F7532"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how quickly it needs to be determined and the reasons for urgency i.e. the reasons why it must be considered within 7 days. Note that the </w:t>
      </w:r>
      <w:r w:rsidRPr="00CA2C15">
        <w:rPr>
          <w:rFonts w:ascii="Calibri" w:eastAsia="Arial" w:hAnsi="Calibri" w:cs="Calibri"/>
          <w:color w:val="000000"/>
          <w:spacing w:val="-1"/>
          <w:sz w:val="24"/>
          <w:szCs w:val="24"/>
        </w:rPr>
        <w:t>Administrative</w:t>
      </w:r>
      <w:r w:rsidRPr="00CA2C15">
        <w:rPr>
          <w:rFonts w:ascii="Calibri" w:eastAsia="Arial" w:hAnsi="Calibri" w:cs="Calibri"/>
          <w:color w:val="000000"/>
          <w:sz w:val="24"/>
          <w:szCs w:val="24"/>
        </w:rPr>
        <w:t xml:space="preserve"> Court’s Judicial Review Guide </w:t>
      </w:r>
      <w:r w:rsidRPr="00CA2C15">
        <w:rPr>
          <w:rFonts w:ascii="Calibri" w:eastAsia="Times New Roman" w:hAnsi="Calibri" w:cs="Calibri"/>
          <w:sz w:val="24"/>
          <w:szCs w:val="20"/>
          <w:lang w:val="en-GB"/>
        </w:rPr>
        <w:t>warns</w:t>
      </w:r>
      <w:r w:rsidRPr="00CA2C15">
        <w:rPr>
          <w:rFonts w:ascii="Calibri" w:eastAsia="Arial" w:hAnsi="Calibri" w:cs="Calibri"/>
          <w:color w:val="000000"/>
          <w:sz w:val="24"/>
          <w:szCs w:val="24"/>
        </w:rPr>
        <w:t xml:space="preserve"> that if the matter is put before a judge who concludes that the application was not urgent then </w:t>
      </w:r>
      <w:r w:rsidR="00604039" w:rsidRPr="00CA2C15">
        <w:rPr>
          <w:rFonts w:ascii="Calibri" w:eastAsia="Arial" w:hAnsi="Calibri" w:cs="Calibri"/>
          <w:color w:val="000000"/>
          <w:sz w:val="24"/>
          <w:szCs w:val="24"/>
        </w:rPr>
        <w:t>they</w:t>
      </w:r>
      <w:r w:rsidRPr="00CA2C15">
        <w:rPr>
          <w:rFonts w:ascii="Calibri" w:eastAsia="Arial" w:hAnsi="Calibri" w:cs="Calibri"/>
          <w:color w:val="000000"/>
          <w:sz w:val="24"/>
          <w:szCs w:val="24"/>
        </w:rPr>
        <w:t xml:space="preserve"> may refuse to deal with the matter on an urgent basis and may make an adverse costs order against the applicant or his legal representatives</w:t>
      </w:r>
      <w:r w:rsidR="0037574A" w:rsidRPr="00CA2C15">
        <w:rPr>
          <w:rFonts w:ascii="Calibri" w:eastAsia="Arial" w:hAnsi="Calibri" w:cs="Calibri"/>
          <w:color w:val="000000"/>
          <w:sz w:val="24"/>
          <w:szCs w:val="24"/>
        </w:rPr>
        <w:t xml:space="preserve"> and/or </w:t>
      </w:r>
      <w:r w:rsidR="00695A03" w:rsidRPr="00CA2C15">
        <w:rPr>
          <w:rFonts w:ascii="Calibri" w:eastAsia="Arial" w:hAnsi="Calibri" w:cs="Calibri"/>
          <w:color w:val="000000"/>
          <w:sz w:val="24"/>
          <w:szCs w:val="24"/>
        </w:rPr>
        <w:t>refer the papers to the Hamid judge to consider whether any legal representative should be referred to the relevant professional regulator</w:t>
      </w:r>
      <w:r w:rsidRPr="00CA2C15">
        <w:rPr>
          <w:rFonts w:ascii="Calibri" w:eastAsia="Arial" w:hAnsi="Calibri" w:cs="Calibri"/>
          <w:color w:val="000000"/>
          <w:sz w:val="24"/>
          <w:szCs w:val="24"/>
        </w:rPr>
        <w:t>.</w:t>
      </w:r>
      <w:r w:rsidR="00966420" w:rsidRPr="00CA2C15">
        <w:rPr>
          <w:rFonts w:ascii="Calibri" w:eastAsia="Arial" w:hAnsi="Calibri" w:cs="Calibri"/>
          <w:color w:val="000000"/>
          <w:sz w:val="24"/>
          <w:szCs w:val="24"/>
        </w:rPr>
        <w:t xml:space="preserve"> See also the warning given by the President of the QBD in Hamid (below).</w:t>
      </w:r>
    </w:p>
    <w:p w14:paraId="62DB1438" w14:textId="10ED7A05" w:rsidR="00DC6662" w:rsidRPr="00CA2C15" w:rsidRDefault="00966420" w:rsidP="004F7532">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it is therefore essential t</w:t>
      </w:r>
      <w:r w:rsidR="00B935ED" w:rsidRPr="00CA2C15">
        <w:rPr>
          <w:rFonts w:ascii="Calibri" w:eastAsia="Arial" w:hAnsi="Calibri" w:cs="Calibri"/>
          <w:color w:val="000000"/>
          <w:sz w:val="24"/>
          <w:szCs w:val="24"/>
        </w:rPr>
        <w:t xml:space="preserve">he </w:t>
      </w:r>
      <w:r w:rsidR="00C50744" w:rsidRPr="00CA2C15">
        <w:rPr>
          <w:rFonts w:ascii="Calibri" w:eastAsia="Arial" w:hAnsi="Calibri" w:cs="Calibri"/>
          <w:color w:val="000000"/>
          <w:sz w:val="24"/>
          <w:szCs w:val="24"/>
        </w:rPr>
        <w:t>c</w:t>
      </w:r>
      <w:r w:rsidR="00B935ED" w:rsidRPr="00CA2C15">
        <w:rPr>
          <w:rFonts w:ascii="Calibri" w:eastAsia="Arial" w:hAnsi="Calibri" w:cs="Calibri"/>
          <w:color w:val="000000"/>
          <w:sz w:val="24"/>
          <w:szCs w:val="24"/>
        </w:rPr>
        <w:t xml:space="preserve">laimant set out the reason for the urgency as well as when it was first </w:t>
      </w:r>
      <w:r w:rsidR="00B935ED" w:rsidRPr="00CA2C15">
        <w:rPr>
          <w:rFonts w:ascii="Calibri" w:eastAsia="Times New Roman" w:hAnsi="Calibri" w:cs="Calibri"/>
          <w:sz w:val="24"/>
          <w:szCs w:val="20"/>
          <w:lang w:val="en-GB"/>
        </w:rPr>
        <w:t>appreciated</w:t>
      </w:r>
      <w:r w:rsidR="00B935ED" w:rsidRPr="00CA2C15">
        <w:rPr>
          <w:rFonts w:ascii="Calibri" w:eastAsia="Arial" w:hAnsi="Calibri" w:cs="Calibri"/>
          <w:color w:val="000000"/>
          <w:sz w:val="24"/>
          <w:szCs w:val="24"/>
        </w:rPr>
        <w:t xml:space="preserve"> that the matter was urgent. </w:t>
      </w:r>
    </w:p>
    <w:p w14:paraId="26669A50" w14:textId="7A486DF4"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pacing w:val="-1"/>
          <w:sz w:val="24"/>
          <w:szCs w:val="24"/>
        </w:rPr>
        <w:t>Out-of-Hours Applications</w:t>
      </w:r>
    </w:p>
    <w:p w14:paraId="493AC801" w14:textId="67DD8231" w:rsidR="00B935ED" w:rsidRPr="00CA2C15" w:rsidRDefault="00B935ED" w:rsidP="00C50744">
      <w:pPr>
        <w:numPr>
          <w:ilvl w:val="0"/>
          <w:numId w:val="4"/>
        </w:numPr>
        <w:tabs>
          <w:tab w:val="num" w:pos="1430"/>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Sometimes you will need to make an urgent application out of hours. </w:t>
      </w:r>
      <w:r w:rsidR="00F02957" w:rsidRPr="00CA2C15">
        <w:rPr>
          <w:rFonts w:ascii="Calibri" w:eastAsia="Arial" w:hAnsi="Calibri" w:cs="Calibri"/>
          <w:color w:val="000000"/>
          <w:spacing w:val="1"/>
          <w:sz w:val="24"/>
          <w:szCs w:val="24"/>
        </w:rPr>
        <w:t xml:space="preserve">You should carefully </w:t>
      </w:r>
      <w:r w:rsidR="007E0BF9" w:rsidRPr="00CA2C15">
        <w:rPr>
          <w:rFonts w:ascii="Calibri" w:eastAsia="Arial" w:hAnsi="Calibri" w:cs="Calibri"/>
          <w:color w:val="000000"/>
          <w:spacing w:val="1"/>
          <w:sz w:val="24"/>
          <w:szCs w:val="24"/>
        </w:rPr>
        <w:t xml:space="preserve">read </w:t>
      </w:r>
      <w:r w:rsidR="00F02957" w:rsidRPr="00CA2C15">
        <w:rPr>
          <w:rFonts w:ascii="Calibri" w:eastAsia="Arial" w:hAnsi="Calibri" w:cs="Calibri"/>
          <w:color w:val="000000"/>
          <w:spacing w:val="1"/>
          <w:sz w:val="24"/>
          <w:szCs w:val="24"/>
        </w:rPr>
        <w:t xml:space="preserve">Section 17.8 of the Administrative Court Judicial Review Guide if </w:t>
      </w:r>
      <w:r w:rsidR="00F02957" w:rsidRPr="00CA2C15">
        <w:rPr>
          <w:rFonts w:ascii="Calibri" w:eastAsia="Times New Roman" w:hAnsi="Calibri" w:cs="Calibri"/>
          <w:sz w:val="24"/>
          <w:szCs w:val="20"/>
          <w:lang w:val="en-GB"/>
        </w:rPr>
        <w:t>you</w:t>
      </w:r>
      <w:r w:rsidR="00F02957" w:rsidRPr="00CA2C15">
        <w:rPr>
          <w:rFonts w:ascii="Calibri" w:eastAsia="Arial" w:hAnsi="Calibri" w:cs="Calibri"/>
          <w:color w:val="000000"/>
          <w:spacing w:val="1"/>
          <w:sz w:val="24"/>
          <w:szCs w:val="24"/>
        </w:rPr>
        <w:t xml:space="preserve"> think you will need to do this. Urgent applications may be </w:t>
      </w:r>
      <w:r w:rsidR="00F02957" w:rsidRPr="00CA2C15">
        <w:rPr>
          <w:rFonts w:ascii="Calibri" w:eastAsia="Arial" w:hAnsi="Calibri" w:cs="Calibri"/>
          <w:color w:val="000000"/>
          <w:sz w:val="24"/>
          <w:szCs w:val="24"/>
        </w:rPr>
        <w:t>appropriate</w:t>
      </w:r>
      <w:r w:rsidR="00F02957" w:rsidRPr="00CA2C15">
        <w:rPr>
          <w:rFonts w:ascii="Calibri" w:eastAsia="Arial" w:hAnsi="Calibri" w:cs="Calibri"/>
          <w:color w:val="000000"/>
          <w:spacing w:val="1"/>
          <w:sz w:val="24"/>
          <w:szCs w:val="24"/>
        </w:rPr>
        <w:t xml:space="preserve"> </w:t>
      </w:r>
      <w:r w:rsidRPr="00CA2C15">
        <w:rPr>
          <w:rFonts w:ascii="Calibri" w:eastAsia="Arial" w:hAnsi="Calibri" w:cs="Calibri"/>
          <w:color w:val="000000"/>
          <w:spacing w:val="1"/>
          <w:sz w:val="24"/>
          <w:szCs w:val="24"/>
        </w:rPr>
        <w:t xml:space="preserve">when: (a) proceedings have been issued, (b) the interim relief sought is required overnight so that the matter cannot wait until the </w:t>
      </w:r>
      <w:r w:rsidR="00A95601" w:rsidRPr="00CA2C15">
        <w:rPr>
          <w:rFonts w:ascii="Calibri" w:eastAsia="Arial" w:hAnsi="Calibri" w:cs="Calibri"/>
          <w:color w:val="000000"/>
          <w:spacing w:val="1"/>
          <w:sz w:val="24"/>
          <w:szCs w:val="24"/>
        </w:rPr>
        <w:t>next working day</w:t>
      </w:r>
      <w:r w:rsidRPr="00CA2C15">
        <w:rPr>
          <w:rFonts w:ascii="Calibri" w:eastAsia="Arial" w:hAnsi="Calibri" w:cs="Calibri"/>
          <w:color w:val="000000"/>
          <w:spacing w:val="1"/>
          <w:sz w:val="24"/>
          <w:szCs w:val="24"/>
        </w:rPr>
        <w:t xml:space="preserve">, and (c) by 4.30pm (or 4pm in the ACO registries outside London) no </w:t>
      </w:r>
      <w:r w:rsidR="00B503BE" w:rsidRPr="00CA2C15">
        <w:rPr>
          <w:rFonts w:ascii="Calibri" w:eastAsia="Arial" w:hAnsi="Calibri" w:cs="Calibri"/>
          <w:color w:val="000000"/>
          <w:spacing w:val="1"/>
          <w:sz w:val="24"/>
          <w:szCs w:val="24"/>
        </w:rPr>
        <w:t>j</w:t>
      </w:r>
      <w:r w:rsidRPr="00CA2C15">
        <w:rPr>
          <w:rFonts w:ascii="Calibri" w:eastAsia="Arial" w:hAnsi="Calibri" w:cs="Calibri"/>
          <w:color w:val="000000"/>
          <w:spacing w:val="1"/>
          <w:sz w:val="24"/>
          <w:szCs w:val="24"/>
        </w:rPr>
        <w:t xml:space="preserve">udge has yet looked at your papers, then you will need to call the out-of-hours </w:t>
      </w:r>
      <w:r w:rsidR="00B503BE" w:rsidRPr="00CA2C15">
        <w:rPr>
          <w:rFonts w:ascii="Calibri" w:eastAsia="Arial" w:hAnsi="Calibri" w:cs="Calibri"/>
          <w:color w:val="000000"/>
          <w:spacing w:val="1"/>
          <w:sz w:val="24"/>
          <w:szCs w:val="24"/>
        </w:rPr>
        <w:t>j</w:t>
      </w:r>
      <w:r w:rsidRPr="00CA2C15">
        <w:rPr>
          <w:rFonts w:ascii="Calibri" w:eastAsia="Arial" w:hAnsi="Calibri" w:cs="Calibri"/>
          <w:color w:val="000000"/>
          <w:spacing w:val="1"/>
          <w:sz w:val="24"/>
          <w:szCs w:val="24"/>
        </w:rPr>
        <w:t xml:space="preserve">udge. A High Court </w:t>
      </w:r>
      <w:r w:rsidR="00A95601" w:rsidRPr="00CA2C15">
        <w:rPr>
          <w:rFonts w:ascii="Calibri" w:eastAsia="Arial" w:hAnsi="Calibri" w:cs="Calibri"/>
          <w:color w:val="000000"/>
          <w:spacing w:val="1"/>
          <w:sz w:val="24"/>
          <w:szCs w:val="24"/>
        </w:rPr>
        <w:t>j</w:t>
      </w:r>
      <w:r w:rsidRPr="00CA2C15">
        <w:rPr>
          <w:rFonts w:ascii="Calibri" w:eastAsia="Arial" w:hAnsi="Calibri" w:cs="Calibri"/>
          <w:color w:val="000000"/>
          <w:spacing w:val="1"/>
          <w:sz w:val="24"/>
          <w:szCs w:val="24"/>
        </w:rPr>
        <w:t xml:space="preserve">udge is on call at all times to deal with very urgent applications which cannot wait until 10am the next working day. In these circumstances you will have already worked up the issues and will be already armed with a draft interim </w:t>
      </w:r>
      <w:r w:rsidR="00A95601" w:rsidRPr="00CA2C15">
        <w:rPr>
          <w:rFonts w:ascii="Calibri" w:eastAsia="Arial" w:hAnsi="Calibri" w:cs="Calibri"/>
          <w:color w:val="000000"/>
          <w:spacing w:val="1"/>
          <w:sz w:val="24"/>
          <w:szCs w:val="24"/>
        </w:rPr>
        <w:t>o</w:t>
      </w:r>
      <w:r w:rsidRPr="00CA2C15">
        <w:rPr>
          <w:rFonts w:ascii="Calibri" w:eastAsia="Arial" w:hAnsi="Calibri" w:cs="Calibri"/>
          <w:color w:val="000000"/>
          <w:spacing w:val="1"/>
          <w:sz w:val="24"/>
          <w:szCs w:val="24"/>
        </w:rPr>
        <w:t xml:space="preserve">rder, an N463 </w:t>
      </w:r>
      <w:r w:rsidRPr="00CA2C15">
        <w:rPr>
          <w:rFonts w:ascii="Calibri" w:eastAsia="Arial" w:hAnsi="Calibri" w:cs="Calibri"/>
          <w:color w:val="000000"/>
          <w:spacing w:val="-1"/>
          <w:sz w:val="24"/>
          <w:szCs w:val="24"/>
        </w:rPr>
        <w:t>setting</w:t>
      </w:r>
      <w:r w:rsidRPr="00CA2C15">
        <w:rPr>
          <w:rFonts w:ascii="Calibri" w:eastAsia="Arial" w:hAnsi="Calibri" w:cs="Calibri"/>
          <w:color w:val="000000"/>
          <w:spacing w:val="1"/>
          <w:sz w:val="24"/>
          <w:szCs w:val="24"/>
        </w:rPr>
        <w:t xml:space="preserve"> out the urgency and why you are requesting the relief in the draft </w:t>
      </w:r>
      <w:r w:rsidR="00A95601" w:rsidRPr="00CA2C15">
        <w:rPr>
          <w:rFonts w:ascii="Calibri" w:eastAsia="Arial" w:hAnsi="Calibri" w:cs="Calibri"/>
          <w:color w:val="000000"/>
          <w:spacing w:val="1"/>
          <w:sz w:val="24"/>
          <w:szCs w:val="24"/>
        </w:rPr>
        <w:t>o</w:t>
      </w:r>
      <w:r w:rsidRPr="00CA2C15">
        <w:rPr>
          <w:rFonts w:ascii="Calibri" w:eastAsia="Arial" w:hAnsi="Calibri" w:cs="Calibri"/>
          <w:color w:val="000000"/>
          <w:spacing w:val="1"/>
          <w:sz w:val="24"/>
          <w:szCs w:val="24"/>
        </w:rPr>
        <w:t xml:space="preserve">rder, and a Statement of Facts and Grounds/ Statement of Facts along with a </w:t>
      </w:r>
      <w:r w:rsidR="00A95601" w:rsidRPr="00CA2C15">
        <w:rPr>
          <w:rFonts w:ascii="Calibri" w:eastAsia="Arial" w:hAnsi="Calibri" w:cs="Calibri"/>
          <w:color w:val="000000"/>
          <w:spacing w:val="1"/>
          <w:sz w:val="24"/>
          <w:szCs w:val="24"/>
        </w:rPr>
        <w:t>w</w:t>
      </w:r>
      <w:r w:rsidRPr="00CA2C15">
        <w:rPr>
          <w:rFonts w:ascii="Calibri" w:eastAsia="Arial" w:hAnsi="Calibri" w:cs="Calibri"/>
          <w:color w:val="000000"/>
          <w:spacing w:val="1"/>
          <w:sz w:val="24"/>
          <w:szCs w:val="24"/>
        </w:rPr>
        <w:t xml:space="preserve">itness </w:t>
      </w:r>
      <w:r w:rsidR="00D97800" w:rsidRPr="00CA2C15">
        <w:rPr>
          <w:rFonts w:ascii="Calibri" w:eastAsia="Arial" w:hAnsi="Calibri" w:cs="Calibri"/>
          <w:color w:val="000000"/>
          <w:spacing w:val="1"/>
          <w:sz w:val="24"/>
          <w:szCs w:val="24"/>
        </w:rPr>
        <w:t>s</w:t>
      </w:r>
      <w:r w:rsidRPr="00CA2C15">
        <w:rPr>
          <w:rFonts w:ascii="Calibri" w:eastAsia="Arial" w:hAnsi="Calibri" w:cs="Calibri"/>
          <w:color w:val="000000"/>
          <w:spacing w:val="1"/>
          <w:sz w:val="24"/>
          <w:szCs w:val="24"/>
        </w:rPr>
        <w:t xml:space="preserve">tatement – which makes your task, and the out-of-hours </w:t>
      </w:r>
      <w:r w:rsidR="00996A54" w:rsidRPr="00CA2C15">
        <w:rPr>
          <w:rFonts w:ascii="Calibri" w:eastAsia="Arial" w:hAnsi="Calibri" w:cs="Calibri"/>
          <w:color w:val="000000"/>
          <w:spacing w:val="1"/>
          <w:sz w:val="24"/>
          <w:szCs w:val="24"/>
        </w:rPr>
        <w:t>j</w:t>
      </w:r>
      <w:r w:rsidRPr="00CA2C15">
        <w:rPr>
          <w:rFonts w:ascii="Calibri" w:eastAsia="Arial" w:hAnsi="Calibri" w:cs="Calibri"/>
          <w:color w:val="000000"/>
          <w:spacing w:val="1"/>
          <w:sz w:val="24"/>
          <w:szCs w:val="24"/>
        </w:rPr>
        <w:t>udge’s task, far easier! However, often you will only be instructed late in the afternoon and will be preparing for the telephone application with very limited time, and sometimes with very limited paperwork.</w:t>
      </w:r>
    </w:p>
    <w:p w14:paraId="6F179924" w14:textId="78CB5D88" w:rsidR="00B935ED" w:rsidRPr="00CA2C15" w:rsidRDefault="00B935ED" w:rsidP="00C50744">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Note that </w:t>
      </w:r>
      <w:r w:rsidRPr="00CA2C15">
        <w:rPr>
          <w:rFonts w:ascii="Calibri" w:eastAsia="Times New Roman" w:hAnsi="Calibri" w:cs="Calibri"/>
          <w:sz w:val="24"/>
          <w:szCs w:val="20"/>
          <w:lang w:val="en-GB"/>
        </w:rPr>
        <w:t>when</w:t>
      </w:r>
      <w:r w:rsidRPr="00CA2C15">
        <w:rPr>
          <w:rFonts w:ascii="Calibri" w:eastAsia="Arial" w:hAnsi="Calibri" w:cs="Calibri"/>
          <w:color w:val="000000"/>
          <w:sz w:val="24"/>
          <w:szCs w:val="24"/>
        </w:rPr>
        <w:t xml:space="preserve"> you have already lodged an N463 and it reaches 4.30pm the papers do not automatically get transferred to the out-of-hours </w:t>
      </w:r>
      <w:r w:rsidR="00D97800"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 Even if </w:t>
      </w:r>
      <w:r w:rsidR="0012565A" w:rsidRPr="00CA2C15">
        <w:rPr>
          <w:rFonts w:ascii="Calibri" w:eastAsia="Arial" w:hAnsi="Calibri" w:cs="Calibri"/>
          <w:color w:val="000000"/>
          <w:sz w:val="24"/>
          <w:szCs w:val="24"/>
        </w:rPr>
        <w:t>you have specifically</w:t>
      </w:r>
      <w:r w:rsidRPr="00CA2C15">
        <w:rPr>
          <w:rFonts w:ascii="Calibri" w:eastAsia="Arial" w:hAnsi="Calibri" w:cs="Calibri"/>
          <w:color w:val="000000"/>
          <w:sz w:val="24"/>
          <w:szCs w:val="24"/>
        </w:rPr>
        <w:t xml:space="preserve"> spoken to the </w:t>
      </w:r>
      <w:r w:rsidR="00F02957" w:rsidRPr="00CA2C15">
        <w:rPr>
          <w:rFonts w:ascii="Calibri" w:eastAsia="Arial" w:hAnsi="Calibri" w:cs="Calibri"/>
          <w:color w:val="000000"/>
          <w:sz w:val="24"/>
          <w:szCs w:val="24"/>
        </w:rPr>
        <w:t>ACO</w:t>
      </w:r>
      <w:r w:rsidRPr="00CA2C15">
        <w:rPr>
          <w:rFonts w:ascii="Calibri" w:eastAsia="Arial" w:hAnsi="Calibri" w:cs="Calibri"/>
          <w:color w:val="000000"/>
          <w:sz w:val="24"/>
          <w:szCs w:val="24"/>
        </w:rPr>
        <w:t xml:space="preserve"> and requested that papers be passed in this </w:t>
      </w:r>
      <w:r w:rsidRPr="00CA2C15">
        <w:rPr>
          <w:rFonts w:ascii="Calibri" w:eastAsia="Arial" w:hAnsi="Calibri" w:cs="Calibri"/>
          <w:color w:val="000000"/>
          <w:spacing w:val="-1"/>
          <w:sz w:val="24"/>
          <w:szCs w:val="24"/>
        </w:rPr>
        <w:t>way</w:t>
      </w:r>
      <w:r w:rsidRPr="00CA2C15">
        <w:rPr>
          <w:rFonts w:ascii="Calibri" w:eastAsia="Arial" w:hAnsi="Calibri" w:cs="Calibri"/>
          <w:color w:val="000000"/>
          <w:sz w:val="24"/>
          <w:szCs w:val="24"/>
        </w:rPr>
        <w:t xml:space="preserve">, and even if the ACO has informed </w:t>
      </w:r>
      <w:r w:rsidR="0012565A" w:rsidRPr="00CA2C15">
        <w:rPr>
          <w:rFonts w:ascii="Calibri" w:eastAsia="Arial" w:hAnsi="Calibri" w:cs="Calibri"/>
          <w:color w:val="000000"/>
          <w:sz w:val="24"/>
          <w:szCs w:val="24"/>
        </w:rPr>
        <w:t>you</w:t>
      </w:r>
      <w:r w:rsidRPr="00CA2C15">
        <w:rPr>
          <w:rFonts w:ascii="Calibri" w:eastAsia="Arial" w:hAnsi="Calibri" w:cs="Calibri"/>
          <w:color w:val="000000"/>
          <w:sz w:val="24"/>
          <w:szCs w:val="24"/>
        </w:rPr>
        <w:t xml:space="preserve"> that this will be done, papers </w:t>
      </w:r>
      <w:r w:rsidR="00D97800" w:rsidRPr="00CA2C15">
        <w:rPr>
          <w:rFonts w:ascii="Calibri" w:eastAsia="Arial" w:hAnsi="Calibri" w:cs="Calibri"/>
          <w:color w:val="000000"/>
          <w:sz w:val="24"/>
          <w:szCs w:val="24"/>
        </w:rPr>
        <w:t xml:space="preserve">often do not </w:t>
      </w:r>
      <w:r w:rsidRPr="00CA2C15">
        <w:rPr>
          <w:rFonts w:ascii="Calibri" w:eastAsia="Arial" w:hAnsi="Calibri" w:cs="Calibri"/>
          <w:color w:val="000000"/>
          <w:sz w:val="24"/>
          <w:szCs w:val="24"/>
        </w:rPr>
        <w:t xml:space="preserve">get passed </w:t>
      </w:r>
      <w:r w:rsidR="00D97800" w:rsidRPr="00CA2C15">
        <w:rPr>
          <w:rFonts w:ascii="Calibri" w:eastAsia="Arial" w:hAnsi="Calibri" w:cs="Calibri"/>
          <w:color w:val="000000"/>
          <w:sz w:val="24"/>
          <w:szCs w:val="24"/>
        </w:rPr>
        <w:t>on</w:t>
      </w:r>
      <w:r w:rsidRPr="00CA2C15">
        <w:rPr>
          <w:rFonts w:ascii="Calibri" w:eastAsia="Arial" w:hAnsi="Calibri" w:cs="Calibri"/>
          <w:color w:val="000000"/>
          <w:sz w:val="24"/>
          <w:szCs w:val="24"/>
        </w:rPr>
        <w:t xml:space="preserve">. You will need to contact the out-of-hours duty clerk to the </w:t>
      </w:r>
      <w:r w:rsidR="0085278B" w:rsidRPr="00CA2C15">
        <w:rPr>
          <w:rFonts w:ascii="Calibri" w:eastAsia="Arial" w:hAnsi="Calibri" w:cs="Calibri"/>
          <w:color w:val="000000"/>
          <w:sz w:val="24"/>
          <w:szCs w:val="24"/>
        </w:rPr>
        <w:t>Kings Bench Division</w:t>
      </w:r>
      <w:r w:rsidRPr="00CA2C15">
        <w:rPr>
          <w:rFonts w:ascii="Calibri" w:eastAsia="Arial" w:hAnsi="Calibri" w:cs="Calibri"/>
          <w:color w:val="000000"/>
          <w:sz w:val="24"/>
          <w:szCs w:val="24"/>
        </w:rPr>
        <w:t xml:space="preserve"> at 4.30pm via the RCJ switchboard, using the process described below.</w:t>
      </w:r>
    </w:p>
    <w:p w14:paraId="775ADE8E" w14:textId="40D91807" w:rsidR="00B935ED" w:rsidRPr="00CA2C15" w:rsidRDefault="00B935ED" w:rsidP="00C50744">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key question to have in mind before making an out-of-hours application is, ‘why </w:t>
      </w:r>
      <w:r w:rsidRPr="00CA2C15">
        <w:rPr>
          <w:rFonts w:ascii="Calibri" w:eastAsia="Arial" w:hAnsi="Calibri" w:cs="Calibri"/>
          <w:color w:val="000000"/>
          <w:spacing w:val="-1"/>
          <w:sz w:val="24"/>
          <w:szCs w:val="24"/>
        </w:rPr>
        <w:t>can’t</w:t>
      </w:r>
      <w:r w:rsidRPr="00CA2C15">
        <w:rPr>
          <w:rFonts w:ascii="Calibri" w:eastAsia="Arial" w:hAnsi="Calibri" w:cs="Calibri"/>
          <w:color w:val="000000"/>
          <w:sz w:val="24"/>
          <w:szCs w:val="24"/>
        </w:rPr>
        <w:t xml:space="preserve"> this wait until 10am tomorrow?’ Whilst your case may be sufficiently urgent to justify lodging an</w:t>
      </w:r>
      <w:r w:rsidR="01027192"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N463, it may not justify calling the </w:t>
      </w:r>
      <w:r w:rsidR="00D448FA"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 out of </w:t>
      </w:r>
      <w:r w:rsidRPr="00CA2C15">
        <w:rPr>
          <w:rFonts w:ascii="Calibri" w:eastAsia="Times New Roman" w:hAnsi="Calibri" w:cs="Calibri"/>
          <w:sz w:val="24"/>
          <w:szCs w:val="24"/>
          <w:lang w:val="en-GB"/>
        </w:rPr>
        <w:t>hours</w:t>
      </w:r>
      <w:r w:rsidRPr="00CA2C15">
        <w:rPr>
          <w:rFonts w:ascii="Calibri" w:eastAsia="Arial" w:hAnsi="Calibri" w:cs="Calibri"/>
          <w:color w:val="000000"/>
          <w:sz w:val="24"/>
          <w:szCs w:val="24"/>
        </w:rPr>
        <w:t>. This will often be the first question the out-of-hours duty clerk asks you.</w:t>
      </w:r>
    </w:p>
    <w:p w14:paraId="7418DDC0" w14:textId="2CD02B49" w:rsidR="00B935ED" w:rsidRPr="00CA2C15" w:rsidRDefault="00B935ED" w:rsidP="00C50744">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first step is to call the </w:t>
      </w:r>
      <w:r w:rsidR="00CC5B04" w:rsidRPr="00CA2C15">
        <w:rPr>
          <w:rFonts w:ascii="Calibri" w:eastAsia="Arial" w:hAnsi="Calibri" w:cs="Calibri"/>
          <w:color w:val="000000"/>
          <w:sz w:val="24"/>
          <w:szCs w:val="24"/>
        </w:rPr>
        <w:t>RCJ</w:t>
      </w:r>
      <w:r w:rsidRPr="00CA2C15">
        <w:rPr>
          <w:rFonts w:ascii="Calibri" w:eastAsia="Arial" w:hAnsi="Calibri" w:cs="Calibri"/>
          <w:color w:val="000000"/>
          <w:sz w:val="24"/>
          <w:szCs w:val="24"/>
        </w:rPr>
        <w:t xml:space="preserve"> switchboard, at 020 7947 6000. There is a menu of options which, if followed, will put you through to a clerk in the Administrative Court. </w:t>
      </w:r>
      <w:r w:rsidR="000012E4" w:rsidRPr="00CA2C15">
        <w:rPr>
          <w:rFonts w:ascii="Calibri" w:eastAsia="Arial" w:hAnsi="Calibri" w:cs="Calibri"/>
          <w:color w:val="000000"/>
          <w:sz w:val="24"/>
          <w:szCs w:val="24"/>
        </w:rPr>
        <w:t xml:space="preserve">Ask </w:t>
      </w:r>
      <w:r w:rsidRPr="00CA2C15">
        <w:rPr>
          <w:rFonts w:ascii="Calibri" w:eastAsia="Arial" w:hAnsi="Calibri" w:cs="Calibri"/>
          <w:color w:val="000000"/>
          <w:sz w:val="24"/>
          <w:szCs w:val="24"/>
        </w:rPr>
        <w:t xml:space="preserve">for the </w:t>
      </w:r>
      <w:r w:rsidR="00F02957" w:rsidRPr="00CA2C15">
        <w:rPr>
          <w:rFonts w:ascii="Calibri" w:eastAsia="Arial" w:hAnsi="Calibri" w:cs="Calibri"/>
          <w:color w:val="000000"/>
          <w:sz w:val="24"/>
          <w:szCs w:val="24"/>
        </w:rPr>
        <w:t xml:space="preserve">Kings’s </w:t>
      </w:r>
      <w:r w:rsidRPr="00CA2C15">
        <w:rPr>
          <w:rFonts w:ascii="Calibri" w:eastAsia="Arial" w:hAnsi="Calibri" w:cs="Calibri"/>
          <w:color w:val="000000"/>
          <w:sz w:val="24"/>
          <w:szCs w:val="24"/>
        </w:rPr>
        <w:t xml:space="preserve">Bench Division out-of-hours </w:t>
      </w:r>
      <w:r w:rsidR="000012E4" w:rsidRPr="00CA2C15">
        <w:rPr>
          <w:rFonts w:ascii="Calibri" w:eastAsia="Arial" w:hAnsi="Calibri" w:cs="Calibri"/>
          <w:color w:val="000000"/>
          <w:sz w:val="24"/>
          <w:szCs w:val="24"/>
        </w:rPr>
        <w:t>j</w:t>
      </w:r>
      <w:r w:rsidRPr="00CA2C15">
        <w:rPr>
          <w:rFonts w:ascii="Calibri" w:eastAsia="Arial" w:hAnsi="Calibri" w:cs="Calibri"/>
          <w:color w:val="000000"/>
          <w:sz w:val="24"/>
          <w:szCs w:val="24"/>
        </w:rPr>
        <w:t>udge</w:t>
      </w:r>
      <w:r w:rsidR="000012E4" w:rsidRPr="00CA2C15">
        <w:rPr>
          <w:rFonts w:ascii="Calibri" w:eastAsia="Arial" w:hAnsi="Calibri" w:cs="Calibri"/>
          <w:color w:val="000000"/>
          <w:sz w:val="24"/>
          <w:szCs w:val="24"/>
        </w:rPr>
        <w:t xml:space="preserve"> as you have an urgent out of hours application</w:t>
      </w:r>
      <w:r w:rsidRPr="00CA2C15">
        <w:rPr>
          <w:rFonts w:ascii="Calibri" w:eastAsia="Arial" w:hAnsi="Calibri" w:cs="Calibri"/>
          <w:color w:val="000000"/>
          <w:sz w:val="24"/>
          <w:szCs w:val="24"/>
        </w:rPr>
        <w:t xml:space="preserve">. You will be asked to give basic details: your name and </w:t>
      </w:r>
      <w:r w:rsidRPr="00CA2C15">
        <w:rPr>
          <w:rFonts w:ascii="Calibri" w:eastAsia="Arial" w:hAnsi="Calibri" w:cs="Calibri"/>
          <w:color w:val="000000"/>
          <w:spacing w:val="-1"/>
          <w:sz w:val="24"/>
          <w:szCs w:val="24"/>
        </w:rPr>
        <w:t>Chambers</w:t>
      </w:r>
      <w:r w:rsidRPr="00CA2C15">
        <w:rPr>
          <w:rFonts w:ascii="Calibri" w:eastAsia="Arial" w:hAnsi="Calibri" w:cs="Calibri"/>
          <w:color w:val="000000"/>
          <w:sz w:val="24"/>
          <w:szCs w:val="24"/>
        </w:rPr>
        <w:t xml:space="preserve">/ firm; your telephone number; the name of the case; and sometimes the nature of the issue arising. It is advised to have your </w:t>
      </w:r>
      <w:r w:rsidR="008F64E2" w:rsidRPr="00CA2C15">
        <w:rPr>
          <w:rFonts w:ascii="Calibri" w:eastAsia="Arial" w:hAnsi="Calibri" w:cs="Calibri"/>
          <w:color w:val="000000"/>
          <w:sz w:val="24"/>
          <w:szCs w:val="24"/>
        </w:rPr>
        <w:t>out</w:t>
      </w:r>
      <w:r w:rsidR="004F6375" w:rsidRPr="00CA2C15">
        <w:rPr>
          <w:rFonts w:ascii="Calibri" w:eastAsia="Arial" w:hAnsi="Calibri" w:cs="Calibri"/>
          <w:color w:val="000000"/>
          <w:sz w:val="24"/>
          <w:szCs w:val="24"/>
        </w:rPr>
        <w:t xml:space="preserve"> </w:t>
      </w:r>
      <w:r w:rsidR="008F64E2" w:rsidRPr="00CA2C15">
        <w:rPr>
          <w:rFonts w:ascii="Calibri" w:eastAsia="Arial" w:hAnsi="Calibri" w:cs="Calibri"/>
          <w:color w:val="000000"/>
          <w:sz w:val="24"/>
          <w:szCs w:val="24"/>
        </w:rPr>
        <w:t xml:space="preserve">of hours </w:t>
      </w:r>
      <w:r w:rsidRPr="00CA2C15">
        <w:rPr>
          <w:rFonts w:ascii="Calibri" w:eastAsia="Arial" w:hAnsi="Calibri" w:cs="Calibri"/>
          <w:color w:val="000000"/>
          <w:sz w:val="24"/>
          <w:szCs w:val="24"/>
        </w:rPr>
        <w:t xml:space="preserve">form and/or grounds </w:t>
      </w:r>
      <w:r w:rsidR="00B12B1D" w:rsidRPr="00CA2C15">
        <w:rPr>
          <w:rFonts w:ascii="Calibri" w:eastAsia="Arial" w:hAnsi="Calibri" w:cs="Calibri"/>
          <w:color w:val="000000"/>
          <w:sz w:val="24"/>
          <w:szCs w:val="24"/>
        </w:rPr>
        <w:t xml:space="preserve">prepared and </w:t>
      </w:r>
      <w:r w:rsidRPr="00CA2C15">
        <w:rPr>
          <w:rFonts w:ascii="Calibri" w:eastAsia="Arial" w:hAnsi="Calibri" w:cs="Calibri"/>
          <w:color w:val="000000"/>
          <w:sz w:val="24"/>
          <w:szCs w:val="24"/>
        </w:rPr>
        <w:t xml:space="preserve">ready when you call the </w:t>
      </w:r>
      <w:r w:rsidR="00843F1C"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You must ensure that your telephone line is free. It is often useful to give a landline number and keep your mobile number free in case </w:t>
      </w:r>
      <w:r w:rsidR="007E0BF9" w:rsidRPr="00CA2C15">
        <w:rPr>
          <w:rFonts w:ascii="Calibri" w:eastAsia="Arial" w:hAnsi="Calibri" w:cs="Calibri"/>
          <w:color w:val="000000"/>
          <w:sz w:val="24"/>
          <w:szCs w:val="24"/>
        </w:rPr>
        <w:t>another member of the legal team</w:t>
      </w:r>
      <w:r w:rsidRPr="00CA2C15">
        <w:rPr>
          <w:rFonts w:ascii="Calibri" w:eastAsia="Arial" w:hAnsi="Calibri" w:cs="Calibri"/>
          <w:color w:val="000000"/>
          <w:sz w:val="24"/>
          <w:szCs w:val="24"/>
        </w:rPr>
        <w:t xml:space="preserve"> or client needs to contact you with any updates, or in case the other side wishes to negotiate: see further below.</w:t>
      </w:r>
    </w:p>
    <w:p w14:paraId="366BEEFE" w14:textId="176AFA71" w:rsidR="00B935ED" w:rsidRPr="00CA2C15" w:rsidRDefault="00B935ED" w:rsidP="00C50744">
      <w:pPr>
        <w:numPr>
          <w:ilvl w:val="0"/>
          <w:numId w:val="4"/>
        </w:numPr>
        <w:tabs>
          <w:tab w:val="num" w:pos="1430"/>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The next stage is that the out-of-hours duty clerk will contact you. The out-of-hours duty </w:t>
      </w:r>
      <w:r w:rsidRPr="00CA2C15">
        <w:rPr>
          <w:rFonts w:ascii="Calibri" w:eastAsia="Times New Roman" w:hAnsi="Calibri" w:cs="Calibri"/>
          <w:sz w:val="24"/>
          <w:szCs w:val="20"/>
          <w:lang w:val="en-GB"/>
        </w:rPr>
        <w:t>clerk</w:t>
      </w:r>
      <w:r w:rsidRPr="00CA2C15">
        <w:rPr>
          <w:rFonts w:ascii="Calibri" w:eastAsia="Arial" w:hAnsi="Calibri" w:cs="Calibri"/>
          <w:color w:val="000000"/>
          <w:spacing w:val="-1"/>
          <w:sz w:val="24"/>
          <w:szCs w:val="24"/>
        </w:rPr>
        <w:t xml:space="preserve"> will ask you to complete the out-of-hours form</w:t>
      </w:r>
      <w:r w:rsidR="00F02957" w:rsidRPr="00CA2C15">
        <w:rPr>
          <w:rStyle w:val="FootnoteReference"/>
          <w:rFonts w:ascii="Calibri" w:eastAsia="Arial" w:hAnsi="Calibri" w:cs="Calibri"/>
          <w:color w:val="000000"/>
          <w:spacing w:val="-1"/>
          <w:sz w:val="24"/>
          <w:szCs w:val="24"/>
        </w:rPr>
        <w:footnoteReference w:id="18"/>
      </w:r>
      <w:r w:rsidR="004F6375" w:rsidRPr="00CA2C15">
        <w:rPr>
          <w:rFonts w:ascii="Calibri" w:eastAsia="Arial" w:hAnsi="Calibri" w:cs="Calibri"/>
          <w:color w:val="000000"/>
          <w:spacing w:val="-1"/>
          <w:sz w:val="24"/>
          <w:szCs w:val="24"/>
        </w:rPr>
        <w:t xml:space="preserve"> if you have not already done so,</w:t>
      </w:r>
      <w:r w:rsidR="00F02957" w:rsidRPr="00CA2C15">
        <w:rPr>
          <w:rFonts w:ascii="Calibri" w:eastAsia="Arial" w:hAnsi="Calibri" w:cs="Calibri"/>
          <w:color w:val="000000"/>
          <w:spacing w:val="-1"/>
          <w:sz w:val="24"/>
          <w:szCs w:val="24"/>
        </w:rPr>
        <w:t xml:space="preserve"> </w:t>
      </w:r>
      <w:r w:rsidRPr="00CA2C15">
        <w:rPr>
          <w:rFonts w:ascii="Calibri" w:eastAsia="Arial" w:hAnsi="Calibri" w:cs="Calibri"/>
          <w:color w:val="000000"/>
          <w:spacing w:val="-1"/>
          <w:sz w:val="24"/>
          <w:szCs w:val="24"/>
        </w:rPr>
        <w:t xml:space="preserve">and return it by email to </w:t>
      </w:r>
      <w:hyperlink r:id="rId23" w:history="1">
        <w:r w:rsidR="00F02957" w:rsidRPr="00CA2C15">
          <w:rPr>
            <w:rStyle w:val="Hyperlink"/>
            <w:rFonts w:ascii="Calibri" w:eastAsia="Arial" w:hAnsi="Calibri" w:cs="Calibri"/>
            <w:spacing w:val="-1"/>
            <w:sz w:val="24"/>
            <w:szCs w:val="24"/>
          </w:rPr>
          <w:t>DutyClerkKB@justice.gov.uk</w:t>
        </w:r>
      </w:hyperlink>
      <w:r w:rsidRPr="00CA2C15">
        <w:rPr>
          <w:rFonts w:ascii="Calibri" w:eastAsia="Arial" w:hAnsi="Calibri" w:cs="Calibri"/>
          <w:color w:val="000000"/>
          <w:spacing w:val="-1"/>
          <w:sz w:val="24"/>
          <w:szCs w:val="24"/>
        </w:rPr>
        <w:t>. The out-of-hours form requires you to summarise the reason for your urgent application. Treat this as the first stage of your advocacy. Please note that you are not to</w:t>
      </w:r>
      <w:r w:rsidR="007A6C76" w:rsidRPr="00CA2C15">
        <w:rPr>
          <w:rFonts w:ascii="Calibri" w:eastAsia="Arial" w:hAnsi="Calibri" w:cs="Calibri"/>
          <w:color w:val="000000"/>
          <w:spacing w:val="-1"/>
          <w:sz w:val="24"/>
          <w:szCs w:val="24"/>
        </w:rPr>
        <w:t xml:space="preserve"> email this form or use</w:t>
      </w:r>
      <w:r w:rsidR="008228B4" w:rsidRPr="00CA2C15">
        <w:rPr>
          <w:rFonts w:ascii="Calibri" w:eastAsia="Arial" w:hAnsi="Calibri" w:cs="Calibri"/>
          <w:color w:val="000000"/>
          <w:spacing w:val="-1"/>
          <w:sz w:val="24"/>
          <w:szCs w:val="24"/>
        </w:rPr>
        <w:t xml:space="preserve"> </w:t>
      </w:r>
      <w:r w:rsidRPr="00CA2C15">
        <w:rPr>
          <w:rFonts w:ascii="Calibri" w:eastAsia="Arial" w:hAnsi="Calibri" w:cs="Calibri"/>
          <w:color w:val="000000"/>
          <w:sz w:val="24"/>
          <w:szCs w:val="24"/>
        </w:rPr>
        <w:t>the email address  unless you have been asked to</w:t>
      </w:r>
      <w:r w:rsidR="00662490" w:rsidRPr="00CA2C15">
        <w:rPr>
          <w:rFonts w:ascii="Calibri" w:eastAsia="Arial" w:hAnsi="Calibri" w:cs="Calibri"/>
          <w:color w:val="000000"/>
          <w:sz w:val="24"/>
          <w:szCs w:val="24"/>
        </w:rPr>
        <w:t xml:space="preserve"> by the clerk</w:t>
      </w:r>
      <w:r w:rsidR="00BC6292" w:rsidRPr="00CA2C15">
        <w:rPr>
          <w:rFonts w:ascii="Calibri" w:eastAsia="Arial" w:hAnsi="Calibri" w:cs="Calibri"/>
          <w:color w:val="000000"/>
          <w:sz w:val="24"/>
          <w:szCs w:val="24"/>
        </w:rPr>
        <w:t>.</w:t>
      </w:r>
    </w:p>
    <w:p w14:paraId="440F7638" w14:textId="12C242E9" w:rsidR="008228B4" w:rsidRPr="00CA2C15" w:rsidRDefault="00B935ED" w:rsidP="00C50744">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out-of-hours </w:t>
      </w:r>
      <w:r w:rsidR="00662490"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 may deal with the application on paper or may telephone you and you will need to make oral submissions to the </w:t>
      </w:r>
      <w:r w:rsidR="00662490"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 before a </w:t>
      </w:r>
      <w:r w:rsidRPr="00CA2C15">
        <w:rPr>
          <w:rFonts w:ascii="Calibri" w:eastAsia="Times New Roman" w:hAnsi="Calibri" w:cs="Calibri"/>
          <w:sz w:val="24"/>
          <w:szCs w:val="20"/>
          <w:lang w:val="en-GB"/>
        </w:rPr>
        <w:t>decision</w:t>
      </w:r>
      <w:r w:rsidRPr="00CA2C15">
        <w:rPr>
          <w:rFonts w:ascii="Calibri" w:eastAsia="Arial" w:hAnsi="Calibri" w:cs="Calibri"/>
          <w:color w:val="000000"/>
          <w:sz w:val="24"/>
          <w:szCs w:val="24"/>
        </w:rPr>
        <w:t xml:space="preserve"> is made. The out-of-hours </w:t>
      </w:r>
      <w:r w:rsidR="00662490"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 may also telephone any other party to the application if </w:t>
      </w:r>
      <w:r w:rsidR="00662490" w:rsidRPr="00CA2C15">
        <w:rPr>
          <w:rFonts w:ascii="Calibri" w:eastAsia="Arial" w:hAnsi="Calibri" w:cs="Calibri"/>
          <w:color w:val="000000"/>
          <w:sz w:val="24"/>
          <w:szCs w:val="24"/>
        </w:rPr>
        <w:t>they</w:t>
      </w:r>
      <w:r w:rsidRPr="00CA2C15">
        <w:rPr>
          <w:rFonts w:ascii="Calibri" w:eastAsia="Arial" w:hAnsi="Calibri" w:cs="Calibri"/>
          <w:color w:val="000000"/>
          <w:sz w:val="24"/>
          <w:szCs w:val="24"/>
        </w:rPr>
        <w:t xml:space="preserve"> consider that to be appropriate (for example in immigration cases where the application seeks a stay on removal).</w:t>
      </w:r>
    </w:p>
    <w:p w14:paraId="03141480" w14:textId="47AF2FE9"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pacing w:val="-1"/>
          <w:sz w:val="24"/>
          <w:szCs w:val="24"/>
        </w:rPr>
        <w:t>Proceed with Caution</w:t>
      </w:r>
    </w:p>
    <w:p w14:paraId="5650C785" w14:textId="57013174" w:rsidR="00E733EA" w:rsidRPr="00CA2C15" w:rsidRDefault="00B935ED" w:rsidP="0011682B">
      <w:pPr>
        <w:numPr>
          <w:ilvl w:val="0"/>
          <w:numId w:val="4"/>
        </w:numPr>
        <w:tabs>
          <w:tab w:val="num" w:pos="1430"/>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There is a heavy onus on the solicitor and / or counsel making an urgent application, particularly when it is </w:t>
      </w:r>
      <w:r w:rsidR="00FC10EF" w:rsidRPr="00CA2C15">
        <w:rPr>
          <w:rFonts w:ascii="Calibri" w:eastAsia="Arial" w:hAnsi="Calibri" w:cs="Calibri"/>
          <w:color w:val="000000"/>
          <w:spacing w:val="1"/>
          <w:sz w:val="24"/>
          <w:szCs w:val="24"/>
        </w:rPr>
        <w:t>without notice</w:t>
      </w:r>
      <w:r w:rsidRPr="00CA2C15">
        <w:rPr>
          <w:rFonts w:ascii="Calibri" w:eastAsia="Arial" w:hAnsi="Calibri" w:cs="Calibri"/>
          <w:color w:val="000000"/>
          <w:spacing w:val="1"/>
          <w:sz w:val="24"/>
          <w:szCs w:val="24"/>
        </w:rPr>
        <w:t xml:space="preserve"> (see </w:t>
      </w:r>
      <w:r w:rsidRPr="00CA2C15">
        <w:rPr>
          <w:rFonts w:ascii="Calibri" w:eastAsia="Arial" w:hAnsi="Calibri" w:cs="Calibri"/>
          <w:i/>
          <w:iCs/>
          <w:color w:val="000000"/>
          <w:spacing w:val="1"/>
          <w:sz w:val="24"/>
          <w:szCs w:val="24"/>
        </w:rPr>
        <w:t>Buxton LJ in R (Madan) v. SSHD</w:t>
      </w:r>
      <w:r w:rsidRPr="00CA2C15">
        <w:rPr>
          <w:rFonts w:ascii="Calibri" w:eastAsia="Arial" w:hAnsi="Calibri" w:cs="Calibri"/>
          <w:color w:val="000000"/>
          <w:spacing w:val="1"/>
          <w:sz w:val="24"/>
          <w:szCs w:val="24"/>
        </w:rPr>
        <w:t xml:space="preserve"> [2007] EWCA Civ 770). It is essential that you are scrupulously careful to give the </w:t>
      </w:r>
      <w:r w:rsidR="00FC10EF" w:rsidRPr="00CA2C15">
        <w:rPr>
          <w:rFonts w:ascii="Calibri" w:eastAsia="Arial" w:hAnsi="Calibri" w:cs="Calibri"/>
          <w:color w:val="000000"/>
          <w:spacing w:val="1"/>
          <w:sz w:val="24"/>
          <w:szCs w:val="24"/>
        </w:rPr>
        <w:t>d</w:t>
      </w:r>
      <w:r w:rsidRPr="00CA2C15">
        <w:rPr>
          <w:rFonts w:ascii="Calibri" w:eastAsia="Arial" w:hAnsi="Calibri" w:cs="Calibri"/>
          <w:color w:val="000000"/>
          <w:spacing w:val="1"/>
          <w:sz w:val="24"/>
          <w:szCs w:val="24"/>
        </w:rPr>
        <w:t xml:space="preserve">efendant every opportunity to settle or explain its </w:t>
      </w:r>
      <w:r w:rsidRPr="00CA2C15">
        <w:rPr>
          <w:rFonts w:ascii="Calibri" w:eastAsia="Arial" w:hAnsi="Calibri" w:cs="Calibri"/>
          <w:color w:val="000000"/>
          <w:sz w:val="24"/>
          <w:szCs w:val="24"/>
        </w:rPr>
        <w:t>position</w:t>
      </w:r>
      <w:r w:rsidRPr="00CA2C15">
        <w:rPr>
          <w:rFonts w:ascii="Calibri" w:eastAsia="Arial" w:hAnsi="Calibri" w:cs="Calibri"/>
          <w:color w:val="000000"/>
          <w:spacing w:val="1"/>
          <w:sz w:val="24"/>
          <w:szCs w:val="24"/>
        </w:rPr>
        <w:t xml:space="preserve">; that you keep a record of this; that you act as promptly as possible, making your application at the earliest possible time after it becomes apparent that an urgent application is needed; that you continuously review the merits of the interim relief application which you propose to make; and that you make “full and frank disclosure” of any adverse facts, law, previous applications, and the </w:t>
      </w:r>
      <w:r w:rsidR="00192AED" w:rsidRPr="00CA2C15">
        <w:rPr>
          <w:rFonts w:ascii="Calibri" w:eastAsia="Arial" w:hAnsi="Calibri" w:cs="Calibri"/>
          <w:color w:val="000000"/>
          <w:spacing w:val="1"/>
          <w:sz w:val="24"/>
          <w:szCs w:val="24"/>
        </w:rPr>
        <w:t>d</w:t>
      </w:r>
      <w:r w:rsidRPr="00CA2C15">
        <w:rPr>
          <w:rFonts w:ascii="Calibri" w:eastAsia="Arial" w:hAnsi="Calibri" w:cs="Calibri"/>
          <w:color w:val="000000"/>
          <w:spacing w:val="1"/>
          <w:sz w:val="24"/>
          <w:szCs w:val="24"/>
        </w:rPr>
        <w:t xml:space="preserve">efendant’s position. In general, a party to proceedings who seeks relief without notice is obliged to make full and frank disclosure to the court of all relevant facts and law: </w:t>
      </w:r>
      <w:r w:rsidRPr="00CA2C15">
        <w:rPr>
          <w:rFonts w:ascii="Calibri" w:eastAsia="Arial" w:hAnsi="Calibri" w:cs="Calibri"/>
          <w:i/>
          <w:iCs/>
          <w:color w:val="000000"/>
          <w:spacing w:val="1"/>
          <w:sz w:val="24"/>
          <w:szCs w:val="24"/>
        </w:rPr>
        <w:t>Memory Corp Plc v Sidhu (No.1)</w:t>
      </w:r>
      <w:r w:rsidRPr="00CA2C15">
        <w:rPr>
          <w:rFonts w:ascii="Calibri" w:eastAsia="Arial" w:hAnsi="Calibri" w:cs="Calibri"/>
          <w:color w:val="000000"/>
          <w:spacing w:val="1"/>
          <w:sz w:val="24"/>
          <w:szCs w:val="24"/>
        </w:rPr>
        <w:t xml:space="preserve"> [2000] 1 WLR 1443, CA. In </w:t>
      </w:r>
      <w:r w:rsidRPr="00CA2C15">
        <w:rPr>
          <w:rFonts w:ascii="Calibri" w:eastAsia="Arial" w:hAnsi="Calibri" w:cs="Calibri"/>
          <w:i/>
          <w:iCs/>
          <w:color w:val="000000"/>
          <w:spacing w:val="1"/>
          <w:sz w:val="24"/>
          <w:szCs w:val="24"/>
        </w:rPr>
        <w:t>Re M and N (Minors)</w:t>
      </w:r>
      <w:r w:rsidRPr="00CA2C15">
        <w:rPr>
          <w:rFonts w:ascii="Calibri" w:eastAsia="Arial" w:hAnsi="Calibri" w:cs="Calibri"/>
          <w:color w:val="000000"/>
          <w:spacing w:val="1"/>
          <w:sz w:val="24"/>
          <w:szCs w:val="24"/>
        </w:rPr>
        <w:t xml:space="preserve"> [1990] Fam. 211, CA, Lord Donaldson of Lymington M.R. said at 229F:</w:t>
      </w:r>
    </w:p>
    <w:p w14:paraId="5B5E51DD" w14:textId="4273249F" w:rsidR="00B935ED" w:rsidRPr="00CA2C15" w:rsidRDefault="00B935ED" w:rsidP="00E733EA">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spacing w:val="1"/>
        </w:rPr>
      </w:pPr>
      <w:r w:rsidRPr="00CA2C15">
        <w:rPr>
          <w:rFonts w:ascii="Calibri" w:eastAsia="Arial" w:hAnsi="Calibri" w:cs="Calibri"/>
          <w:i/>
          <w:color w:val="000000"/>
        </w:rPr>
        <w:t>“... [I]t cannot be too strongly emphasised that those who seek [ex parte injunctions] are under an obligation to make the fullest and most candid disclosure of all relevant circumstances known to them.”</w:t>
      </w:r>
    </w:p>
    <w:p w14:paraId="4C776EB7" w14:textId="05610BAE" w:rsidR="00B935ED" w:rsidRPr="00CA2C15" w:rsidRDefault="00B935ED" w:rsidP="00CC6F01">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Failure</w:t>
      </w:r>
      <w:r w:rsidRPr="00CA2C15">
        <w:rPr>
          <w:rFonts w:ascii="Calibri" w:eastAsia="Arial" w:hAnsi="Calibri" w:cs="Calibri"/>
          <w:color w:val="000000"/>
          <w:sz w:val="24"/>
          <w:szCs w:val="24"/>
        </w:rPr>
        <w:t xml:space="preserve"> to comply with these obligations may amount to professional misconduct.</w:t>
      </w:r>
    </w:p>
    <w:p w14:paraId="1CDF3DBF" w14:textId="63D31CC2" w:rsidR="00B935ED" w:rsidRPr="00CA2C15" w:rsidRDefault="00B935ED" w:rsidP="00CC6F01">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For the solicitor with conduct, we recommend always providing out-of-hours contact details (including a mobile number) to the other side, and ensuring that you are available to speak at any time. For counsel, we recommend that you give one number (e.g. your landline) to the </w:t>
      </w:r>
      <w:r w:rsidR="00886806"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 and keep another number (e.g. your mobile) free for any urgent updates from your solicitor or the other side.</w:t>
      </w:r>
    </w:p>
    <w:p w14:paraId="22A121B2" w14:textId="77777777" w:rsidR="00F17423" w:rsidRPr="00CA2C15" w:rsidRDefault="00B935ED" w:rsidP="00CC6F01">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Two </w:t>
      </w:r>
      <w:r w:rsidRPr="00CA2C15">
        <w:rPr>
          <w:rFonts w:ascii="Calibri" w:eastAsia="Times New Roman" w:hAnsi="Calibri" w:cs="Calibri"/>
          <w:sz w:val="24"/>
          <w:szCs w:val="20"/>
          <w:lang w:val="en-GB"/>
        </w:rPr>
        <w:t>cases</w:t>
      </w:r>
      <w:r w:rsidRPr="00CA2C15">
        <w:rPr>
          <w:rFonts w:ascii="Calibri" w:eastAsia="Arial" w:hAnsi="Calibri" w:cs="Calibri"/>
          <w:color w:val="000000"/>
          <w:sz w:val="24"/>
          <w:szCs w:val="24"/>
        </w:rPr>
        <w:t xml:space="preserve"> are essential reading for anyone working in this area, as they make very clear what not to do:</w:t>
      </w:r>
    </w:p>
    <w:p w14:paraId="5CFDDCDA" w14:textId="77777777" w:rsidR="00F17423" w:rsidRPr="00CA2C15" w:rsidRDefault="00B935ED" w:rsidP="004D722B">
      <w:pPr>
        <w:numPr>
          <w:ilvl w:val="0"/>
          <w:numId w:val="40"/>
        </w:numPr>
        <w:spacing w:after="240" w:line="360" w:lineRule="auto"/>
        <w:jc w:val="both"/>
        <w:rPr>
          <w:rFonts w:ascii="Calibri" w:eastAsia="Arial" w:hAnsi="Calibri" w:cs="Calibri"/>
          <w:color w:val="000000"/>
          <w:sz w:val="24"/>
          <w:szCs w:val="24"/>
        </w:rPr>
      </w:pPr>
      <w:r w:rsidRPr="00CA2C15">
        <w:rPr>
          <w:rFonts w:ascii="Calibri" w:eastAsia="Arial" w:hAnsi="Calibri" w:cs="Calibri"/>
          <w:i/>
          <w:iCs/>
          <w:color w:val="000000"/>
          <w:sz w:val="24"/>
          <w:szCs w:val="24"/>
        </w:rPr>
        <w:t>R (</w:t>
      </w:r>
      <w:r w:rsidRPr="00CA2C15">
        <w:rPr>
          <w:rFonts w:ascii="Calibri" w:eastAsia="Times New Roman" w:hAnsi="Calibri" w:cs="Calibri"/>
          <w:sz w:val="24"/>
          <w:szCs w:val="20"/>
          <w:lang w:val="en-GB"/>
        </w:rPr>
        <w:t>Lawer</w:t>
      </w:r>
      <w:r w:rsidRPr="00CA2C15">
        <w:rPr>
          <w:rFonts w:ascii="Calibri" w:eastAsia="Arial" w:hAnsi="Calibri" w:cs="Calibri"/>
          <w:i/>
          <w:iCs/>
          <w:color w:val="000000"/>
          <w:sz w:val="24"/>
          <w:szCs w:val="24"/>
        </w:rPr>
        <w:t>) v Restormel BC</w:t>
      </w:r>
      <w:r w:rsidRPr="00CA2C15">
        <w:rPr>
          <w:rFonts w:ascii="Calibri" w:eastAsia="Arial" w:hAnsi="Calibri" w:cs="Calibri"/>
          <w:color w:val="000000"/>
          <w:sz w:val="24"/>
          <w:szCs w:val="24"/>
        </w:rPr>
        <w:t xml:space="preserve"> [2008] HLR 20; and</w:t>
      </w:r>
    </w:p>
    <w:p w14:paraId="1BE96D0F" w14:textId="04BCE084" w:rsidR="00B935ED" w:rsidRPr="00CA2C15" w:rsidRDefault="00B935ED" w:rsidP="004D722B">
      <w:pPr>
        <w:numPr>
          <w:ilvl w:val="0"/>
          <w:numId w:val="40"/>
        </w:numPr>
        <w:spacing w:after="240" w:line="360" w:lineRule="auto"/>
        <w:jc w:val="both"/>
        <w:rPr>
          <w:rFonts w:ascii="Calibri" w:eastAsia="Arial" w:hAnsi="Calibri" w:cs="Calibri"/>
          <w:color w:val="000000"/>
          <w:sz w:val="24"/>
          <w:szCs w:val="24"/>
        </w:rPr>
      </w:pPr>
      <w:r w:rsidRPr="00CA2C15">
        <w:rPr>
          <w:rFonts w:ascii="Calibri" w:eastAsia="Arial" w:hAnsi="Calibri" w:cs="Calibri"/>
          <w:i/>
          <w:iCs/>
          <w:color w:val="000000"/>
          <w:sz w:val="24"/>
          <w:szCs w:val="24"/>
        </w:rPr>
        <w:t>R (</w:t>
      </w:r>
      <w:r w:rsidRPr="00CA2C15">
        <w:rPr>
          <w:rFonts w:ascii="Calibri" w:eastAsia="Times New Roman" w:hAnsi="Calibri" w:cs="Calibri"/>
          <w:sz w:val="24"/>
          <w:szCs w:val="20"/>
          <w:lang w:val="en-GB"/>
        </w:rPr>
        <w:t>Hamid</w:t>
      </w:r>
      <w:r w:rsidRPr="00CA2C15">
        <w:rPr>
          <w:rFonts w:ascii="Calibri" w:eastAsia="Arial" w:hAnsi="Calibri" w:cs="Calibri"/>
          <w:i/>
          <w:iCs/>
          <w:color w:val="000000"/>
          <w:sz w:val="24"/>
          <w:szCs w:val="24"/>
        </w:rPr>
        <w:t>) v SSHD</w:t>
      </w:r>
      <w:r w:rsidRPr="00CA2C15">
        <w:rPr>
          <w:rFonts w:ascii="Calibri" w:eastAsia="Arial" w:hAnsi="Calibri" w:cs="Calibri"/>
          <w:color w:val="000000"/>
          <w:sz w:val="24"/>
          <w:szCs w:val="24"/>
        </w:rPr>
        <w:t xml:space="preserve"> [2012] EWHC 3070 (Admin), [2013] CP Rep. 6.</w:t>
      </w:r>
    </w:p>
    <w:p w14:paraId="39A5FC24" w14:textId="4B51268C" w:rsidR="00B935ED" w:rsidRPr="00CA2C15" w:rsidRDefault="00B935ED" w:rsidP="00E00DD6">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w:t>
      </w:r>
      <w:r w:rsidR="00D96805" w:rsidRPr="00CA2C15">
        <w:rPr>
          <w:rFonts w:ascii="Calibri" w:eastAsia="Arial" w:hAnsi="Calibri" w:cs="Calibri"/>
          <w:i/>
          <w:iCs/>
          <w:color w:val="000000"/>
          <w:sz w:val="24"/>
          <w:szCs w:val="24"/>
        </w:rPr>
        <w:t>R</w:t>
      </w:r>
      <w:r w:rsidR="00D96805"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Lawer</w:t>
      </w:r>
      <w:r w:rsidR="00D96805"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(a housing case) the Court was sharply critical of counsel’s failure to make full and frank</w:t>
      </w:r>
      <w:r w:rsidR="008228B4"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disclosure to the out-of-hours </w:t>
      </w:r>
      <w:r w:rsidR="00612158" w:rsidRPr="00CA2C15">
        <w:rPr>
          <w:rFonts w:ascii="Calibri" w:eastAsia="Arial" w:hAnsi="Calibri" w:cs="Calibri"/>
          <w:color w:val="000000"/>
          <w:sz w:val="24"/>
          <w:szCs w:val="24"/>
        </w:rPr>
        <w:t>j</w:t>
      </w:r>
      <w:r w:rsidRPr="00CA2C15">
        <w:rPr>
          <w:rFonts w:ascii="Calibri" w:eastAsia="Arial" w:hAnsi="Calibri" w:cs="Calibri"/>
          <w:color w:val="000000"/>
          <w:sz w:val="24"/>
          <w:szCs w:val="24"/>
        </w:rPr>
        <w:t>udge. Interim relief had been secured on a false basis and was later discharged.</w:t>
      </w:r>
    </w:p>
    <w:p w14:paraId="682E3DCC" w14:textId="2244F0DE" w:rsidR="007F1664" w:rsidRPr="00CA2C15" w:rsidRDefault="00B935ED" w:rsidP="00E00DD6">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w:t>
      </w:r>
      <w:r w:rsidRPr="00CA2C15">
        <w:rPr>
          <w:rFonts w:ascii="Calibri" w:eastAsia="Arial" w:hAnsi="Calibri" w:cs="Calibri"/>
          <w:i/>
          <w:iCs/>
          <w:color w:val="000000"/>
          <w:sz w:val="24"/>
          <w:szCs w:val="24"/>
        </w:rPr>
        <w:t xml:space="preserve">R (Hamid) v SSHD </w:t>
      </w:r>
      <w:r w:rsidRPr="00CA2C15">
        <w:rPr>
          <w:rFonts w:ascii="Calibri" w:eastAsia="Arial" w:hAnsi="Calibri" w:cs="Calibri"/>
          <w:color w:val="000000"/>
          <w:sz w:val="24"/>
          <w:szCs w:val="24"/>
        </w:rPr>
        <w:t>[2012] EWHC 3070 (</w:t>
      </w:r>
      <w:r w:rsidRPr="00CA2C15">
        <w:rPr>
          <w:rFonts w:ascii="Calibri" w:eastAsia="Arial" w:hAnsi="Calibri" w:cs="Calibri"/>
          <w:i/>
          <w:color w:val="000000"/>
          <w:sz w:val="24"/>
          <w:szCs w:val="24"/>
        </w:rPr>
        <w:t>Admin</w:t>
      </w:r>
      <w:r w:rsidRPr="00CA2C15">
        <w:rPr>
          <w:rFonts w:ascii="Calibri" w:eastAsia="Arial" w:hAnsi="Calibri" w:cs="Calibri"/>
          <w:color w:val="000000"/>
          <w:sz w:val="24"/>
          <w:szCs w:val="24"/>
        </w:rPr>
        <w:t>), [2013] CP Rep. 6, Sir John Thomas (QBD</w:t>
      </w:r>
      <w:r w:rsidR="008228B4"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President) issued a dire warning to legal representatives </w:t>
      </w:r>
      <w:r w:rsidRPr="00CA2C15">
        <w:rPr>
          <w:rFonts w:ascii="Calibri" w:eastAsia="Times New Roman" w:hAnsi="Calibri" w:cs="Calibri"/>
          <w:sz w:val="24"/>
          <w:szCs w:val="20"/>
          <w:lang w:val="en-GB"/>
        </w:rPr>
        <w:t>applying</w:t>
      </w:r>
      <w:r w:rsidRPr="00CA2C15">
        <w:rPr>
          <w:rFonts w:ascii="Calibri" w:eastAsia="Arial" w:hAnsi="Calibri" w:cs="Calibri"/>
          <w:color w:val="000000"/>
          <w:sz w:val="24"/>
          <w:szCs w:val="24"/>
        </w:rPr>
        <w:t xml:space="preserve"> for last-minute </w:t>
      </w:r>
      <w:r w:rsidR="001F2839" w:rsidRPr="00CA2C15">
        <w:rPr>
          <w:rFonts w:ascii="Calibri" w:eastAsia="Arial" w:hAnsi="Calibri" w:cs="Calibri"/>
          <w:color w:val="000000"/>
          <w:sz w:val="24"/>
          <w:szCs w:val="24"/>
        </w:rPr>
        <w:t>judicial review</w:t>
      </w:r>
      <w:r w:rsidRPr="00CA2C15">
        <w:rPr>
          <w:rFonts w:ascii="Calibri" w:eastAsia="Arial" w:hAnsi="Calibri" w:cs="Calibri"/>
          <w:color w:val="000000"/>
          <w:sz w:val="24"/>
          <w:szCs w:val="24"/>
        </w:rPr>
        <w:t>s and interim relief in immigration cases, but his comments have wider application. In this case he referred to the revised N463 and the new form for out-of-hours applications which has since been introduced (see above). He stated:</w:t>
      </w:r>
    </w:p>
    <w:p w14:paraId="26BBF228" w14:textId="3C0A09FF" w:rsidR="00B935ED" w:rsidRPr="00CA2C15" w:rsidRDefault="00B935ED" w:rsidP="007F1664">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rPr>
      </w:pPr>
      <w:r w:rsidRPr="00CA2C15">
        <w:rPr>
          <w:rFonts w:ascii="Calibri" w:eastAsia="Arial" w:hAnsi="Calibri" w:cs="Calibri"/>
          <w:i/>
          <w:color w:val="000000"/>
        </w:rPr>
        <w:t>“The form was revised because the Administrative Court faces an ever increasing large volume of applications in respect of pending removals said to require immediate consideration. Many are filed towards the end of the working day, often on the day of the flight or the evening before a morning flight. In many of these applications the person concerned has known for some time, at least a matter of days, of his removal. Many of these cases are totally without merit. The court infers that in many cases applications are left to the last moment in the hope that it will result in a deferral of the removal.”</w:t>
      </w:r>
    </w:p>
    <w:p w14:paraId="27761E03" w14:textId="545F1E1A" w:rsidR="00B935ED" w:rsidRPr="00CA2C15" w:rsidRDefault="00B935ED" w:rsidP="009E66A9">
      <w:pPr>
        <w:numPr>
          <w:ilvl w:val="0"/>
          <w:numId w:val="4"/>
        </w:numPr>
        <w:tabs>
          <w:tab w:val="num" w:pos="1430"/>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In that particular case the application was considered to be totally without merit, </w:t>
      </w:r>
      <w:r w:rsidRPr="00CA2C15">
        <w:rPr>
          <w:rFonts w:ascii="Calibri" w:eastAsia="Arial" w:hAnsi="Calibri" w:cs="Calibri"/>
          <w:color w:val="000000"/>
          <w:sz w:val="24"/>
          <w:szCs w:val="24"/>
        </w:rPr>
        <w:t>made</w:t>
      </w:r>
      <w:r w:rsidRPr="00CA2C15">
        <w:rPr>
          <w:rFonts w:ascii="Calibri" w:eastAsia="Arial" w:hAnsi="Calibri" w:cs="Calibri"/>
          <w:color w:val="000000"/>
          <w:spacing w:val="-1"/>
          <w:sz w:val="24"/>
          <w:szCs w:val="24"/>
        </w:rPr>
        <w:t xml:space="preserve"> late, and was essentially a re-run of an earlier, failed application. The solicitor behind the </w:t>
      </w:r>
      <w:r w:rsidRPr="00CA2C15">
        <w:rPr>
          <w:rFonts w:ascii="Calibri" w:eastAsia="Arial" w:hAnsi="Calibri" w:cs="Calibri"/>
          <w:i/>
          <w:color w:val="000000"/>
          <w:sz w:val="24"/>
          <w:szCs w:val="24"/>
        </w:rPr>
        <w:t>offending</w:t>
      </w:r>
      <w:r w:rsidRPr="00CA2C15">
        <w:rPr>
          <w:rFonts w:ascii="Calibri" w:eastAsia="Arial" w:hAnsi="Calibri" w:cs="Calibri"/>
          <w:color w:val="000000"/>
          <w:spacing w:val="-1"/>
          <w:sz w:val="24"/>
          <w:szCs w:val="24"/>
        </w:rPr>
        <w:t xml:space="preserve"> application is not named in the judgment. The </w:t>
      </w:r>
      <w:r w:rsidR="00B7057B" w:rsidRPr="00CA2C15">
        <w:rPr>
          <w:rFonts w:ascii="Calibri" w:eastAsia="Arial" w:hAnsi="Calibri" w:cs="Calibri"/>
          <w:color w:val="000000"/>
          <w:spacing w:val="-1"/>
          <w:sz w:val="24"/>
          <w:szCs w:val="24"/>
        </w:rPr>
        <w:t>c</w:t>
      </w:r>
      <w:r w:rsidRPr="00CA2C15">
        <w:rPr>
          <w:rFonts w:ascii="Calibri" w:eastAsia="Arial" w:hAnsi="Calibri" w:cs="Calibri"/>
          <w:color w:val="000000"/>
          <w:spacing w:val="-1"/>
          <w:sz w:val="24"/>
          <w:szCs w:val="24"/>
        </w:rPr>
        <w:t>ourt had ordered personal attendance by the solicitor with conduct of</w:t>
      </w:r>
      <w:r w:rsidR="007F1664" w:rsidRPr="00CA2C15">
        <w:rPr>
          <w:rFonts w:ascii="Calibri" w:eastAsia="Arial" w:hAnsi="Calibri" w:cs="Calibri"/>
          <w:color w:val="000000"/>
          <w:spacing w:val="-1"/>
          <w:sz w:val="24"/>
          <w:szCs w:val="24"/>
        </w:rPr>
        <w:t xml:space="preserve"> </w:t>
      </w:r>
      <w:r w:rsidRPr="00CA2C15">
        <w:rPr>
          <w:rFonts w:ascii="Calibri" w:eastAsia="Arial" w:hAnsi="Calibri" w:cs="Calibri"/>
          <w:color w:val="000000"/>
          <w:sz w:val="24"/>
          <w:szCs w:val="24"/>
        </w:rPr>
        <w:t>the case and the solicitor apologised to the court, thus apparently avoiding naming and shaming. Sir John at paras. 7 – 10 spelt out the consequences of such conduct in future:</w:t>
      </w:r>
    </w:p>
    <w:p w14:paraId="796A327A" w14:textId="350334B7" w:rsidR="00B935ED" w:rsidRPr="00CA2C15" w:rsidRDefault="00B935ED" w:rsidP="004916C0">
      <w:pPr>
        <w:numPr>
          <w:ilvl w:val="0"/>
          <w:numId w:val="2"/>
        </w:numPr>
        <w:tabs>
          <w:tab w:val="left" w:pos="2376"/>
        </w:tabs>
        <w:spacing w:after="240" w:line="360" w:lineRule="auto"/>
        <w:ind w:left="2376" w:right="216" w:hanging="720"/>
        <w:jc w:val="both"/>
        <w:textAlignment w:val="baseline"/>
        <w:rPr>
          <w:rFonts w:ascii="Calibri" w:eastAsia="Arial" w:hAnsi="Calibri" w:cs="Calibri"/>
          <w:i/>
          <w:color w:val="000000"/>
        </w:rPr>
      </w:pPr>
      <w:r w:rsidRPr="00CA2C15">
        <w:rPr>
          <w:rFonts w:ascii="Calibri" w:eastAsia="Arial" w:hAnsi="Calibri" w:cs="Calibri"/>
          <w:i/>
          <w:color w:val="000000"/>
        </w:rPr>
        <w:t>However, we will for the future do the following. If any firm fails to provide the information required on the form and in particular explain the reasons for urgency, the time at which the need for immediate consideration was first appreciated and the efforts made to notify the defendant, the court will require the attendance in open court of the solicitor from the firm who was responsible, together with his senior partner. It will list not only the name of the case but the firm concerned. Non</w:t>
      </w:r>
      <w:r w:rsidR="00FA0CB9" w:rsidRPr="00CA2C15">
        <w:rPr>
          <w:rFonts w:ascii="Calibri" w:eastAsia="Arial" w:hAnsi="Calibri" w:cs="Calibri"/>
          <w:i/>
          <w:color w:val="000000"/>
        </w:rPr>
        <w:t>-</w:t>
      </w:r>
      <w:r w:rsidRPr="00CA2C15">
        <w:rPr>
          <w:rFonts w:ascii="Calibri" w:eastAsia="Arial" w:hAnsi="Calibri" w:cs="Calibri"/>
          <w:i/>
          <w:color w:val="000000"/>
        </w:rPr>
        <w:t>compliance cannot be allowed to continue.</w:t>
      </w:r>
    </w:p>
    <w:p w14:paraId="6F662876" w14:textId="77777777" w:rsidR="004835B9" w:rsidRPr="00CA2C15" w:rsidRDefault="00B935ED" w:rsidP="004916C0">
      <w:pPr>
        <w:numPr>
          <w:ilvl w:val="0"/>
          <w:numId w:val="2"/>
        </w:numPr>
        <w:tabs>
          <w:tab w:val="left" w:pos="2376"/>
        </w:tabs>
        <w:spacing w:after="240" w:line="360" w:lineRule="auto"/>
        <w:ind w:left="2376" w:right="216" w:hanging="720"/>
        <w:jc w:val="both"/>
        <w:textAlignment w:val="baseline"/>
        <w:rPr>
          <w:rFonts w:ascii="Calibri" w:eastAsia="Arial" w:hAnsi="Calibri" w:cs="Calibri"/>
          <w:i/>
          <w:color w:val="000000"/>
        </w:rPr>
      </w:pPr>
      <w:r w:rsidRPr="00CA2C15">
        <w:rPr>
          <w:rFonts w:ascii="Calibri" w:eastAsia="Arial" w:hAnsi="Calibri" w:cs="Calibri"/>
          <w:i/>
          <w:color w:val="000000"/>
        </w:rPr>
        <w:t>That will not be the only consequence of failing to complete the requirements set out in this form. First, one consequence may be that, if the form is not completed, the judge may simply refuse to consider the application. Second, if reasons are not properly set out or do not explain why there has been delay or the reasons are otherwise inadequate, the court may simply refuse to consider the application for that reason and that reason alone.</w:t>
      </w:r>
    </w:p>
    <w:p w14:paraId="2B457FE4" w14:textId="77777777" w:rsidR="004835B9" w:rsidRPr="00CA2C15" w:rsidRDefault="00B935ED" w:rsidP="004916C0">
      <w:pPr>
        <w:numPr>
          <w:ilvl w:val="0"/>
          <w:numId w:val="2"/>
        </w:numPr>
        <w:tabs>
          <w:tab w:val="left" w:pos="2376"/>
        </w:tabs>
        <w:spacing w:after="240" w:line="360" w:lineRule="auto"/>
        <w:ind w:left="2376" w:right="216" w:hanging="720"/>
        <w:jc w:val="both"/>
        <w:textAlignment w:val="baseline"/>
        <w:rPr>
          <w:rFonts w:ascii="Calibri" w:eastAsia="Arial" w:hAnsi="Calibri" w:cs="Calibri"/>
          <w:i/>
          <w:color w:val="000000"/>
        </w:rPr>
      </w:pPr>
      <w:r w:rsidRPr="00CA2C15">
        <w:rPr>
          <w:rFonts w:ascii="Calibri" w:eastAsia="Arial" w:hAnsi="Calibri" w:cs="Calibri"/>
          <w:i/>
          <w:color w:val="000000"/>
        </w:rPr>
        <w:t>These remarks apply equally to the form soon to be introduced for out of hours applications and the form for renewals when an application has been refused on the papers.</w:t>
      </w:r>
    </w:p>
    <w:p w14:paraId="3B6A491C" w14:textId="02F9BA09" w:rsidR="00B935ED" w:rsidRPr="00CA2C15" w:rsidRDefault="00B935ED" w:rsidP="004916C0">
      <w:pPr>
        <w:numPr>
          <w:ilvl w:val="0"/>
          <w:numId w:val="2"/>
        </w:numPr>
        <w:tabs>
          <w:tab w:val="left" w:pos="2376"/>
        </w:tabs>
        <w:spacing w:after="240" w:line="360" w:lineRule="auto"/>
        <w:ind w:left="2376" w:right="216" w:hanging="720"/>
        <w:jc w:val="both"/>
        <w:textAlignment w:val="baseline"/>
        <w:rPr>
          <w:rFonts w:ascii="Calibri" w:eastAsia="Arial" w:hAnsi="Calibri" w:cs="Calibri"/>
          <w:i/>
          <w:color w:val="000000"/>
        </w:rPr>
      </w:pPr>
      <w:r w:rsidRPr="00CA2C15">
        <w:rPr>
          <w:rFonts w:ascii="Calibri" w:eastAsia="Arial" w:hAnsi="Calibri" w:cs="Calibri"/>
          <w:i/>
          <w:color w:val="000000"/>
        </w:rPr>
        <w:t>These late, meritless applications by people who face removal or deportation are an intolerable waste of public money, a great strain on the resources of this court and an abuse of a service this court offers. The court therefore intends to take the most vigorous action against any legal representatives who fail to comply with its rules. If people persist in failing to follow the procedural requirements, they must realise that this court will not hesitate to refer those concerned to the Solicitors Regulation Authority.”</w:t>
      </w:r>
    </w:p>
    <w:p w14:paraId="3756F9CC" w14:textId="1B7F6863" w:rsidR="00A11A59" w:rsidRPr="00CA2C15" w:rsidRDefault="00A11A59" w:rsidP="00162763">
      <w:pPr>
        <w:numPr>
          <w:ilvl w:val="0"/>
          <w:numId w:val="4"/>
        </w:numPr>
        <w:spacing w:after="240" w:line="360" w:lineRule="auto"/>
        <w:ind w:left="709" w:hanging="709"/>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Section 18 of the Administrative Court </w:t>
      </w:r>
      <w:r w:rsidR="005C1BC1" w:rsidRPr="00CA2C15">
        <w:rPr>
          <w:rFonts w:ascii="Calibri" w:eastAsia="Arial" w:hAnsi="Calibri" w:cs="Calibri"/>
          <w:color w:val="000000"/>
          <w:sz w:val="24"/>
          <w:szCs w:val="24"/>
        </w:rPr>
        <w:t xml:space="preserve">Judicial Review </w:t>
      </w:r>
      <w:r w:rsidRPr="00CA2C15">
        <w:rPr>
          <w:rFonts w:ascii="Calibri" w:eastAsia="Arial" w:hAnsi="Calibri" w:cs="Calibri"/>
          <w:color w:val="000000"/>
          <w:sz w:val="24"/>
          <w:szCs w:val="24"/>
        </w:rPr>
        <w:t xml:space="preserve">Guide explains the jurisdiction of the </w:t>
      </w:r>
      <w:r w:rsidR="005C1BC1"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in relation to action against professional representatives for abuses of the </w:t>
      </w:r>
      <w:r w:rsidR="005C1BC1"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ourt’s procedures, referred to as the Hamid jurisdiction.</w:t>
      </w:r>
      <w:r w:rsidR="008F2AC8" w:rsidRPr="00CA2C15">
        <w:rPr>
          <w:rFonts w:ascii="Calibri" w:eastAsia="Arial" w:hAnsi="Calibri" w:cs="Calibri"/>
          <w:color w:val="000000"/>
          <w:sz w:val="24"/>
          <w:szCs w:val="24"/>
        </w:rPr>
        <w:t xml:space="preserve"> This includes </w:t>
      </w:r>
      <w:r w:rsidR="002A5253" w:rsidRPr="00CA2C15">
        <w:rPr>
          <w:rFonts w:ascii="Calibri" w:eastAsia="Arial" w:hAnsi="Calibri" w:cs="Calibri"/>
          <w:color w:val="000000"/>
          <w:sz w:val="24"/>
          <w:szCs w:val="24"/>
        </w:rPr>
        <w:t>referring</w:t>
      </w:r>
      <w:r w:rsidR="008F2AC8" w:rsidRPr="00CA2C15">
        <w:rPr>
          <w:rFonts w:ascii="Calibri" w:eastAsia="Arial" w:hAnsi="Calibri" w:cs="Calibri"/>
          <w:color w:val="000000"/>
          <w:sz w:val="24"/>
          <w:szCs w:val="24"/>
        </w:rPr>
        <w:t xml:space="preserve"> the legal representative(s) concerned to the relevant professional regulator</w:t>
      </w:r>
      <w:r w:rsidR="00586494" w:rsidRPr="00CA2C15">
        <w:rPr>
          <w:rFonts w:ascii="Calibri" w:eastAsia="Arial" w:hAnsi="Calibri" w:cs="Calibri"/>
          <w:color w:val="000000"/>
          <w:sz w:val="24"/>
          <w:szCs w:val="24"/>
        </w:rPr>
        <w:t xml:space="preserve"> </w:t>
      </w:r>
      <w:r w:rsidR="008F2AC8" w:rsidRPr="00CA2C15">
        <w:rPr>
          <w:rFonts w:ascii="Calibri" w:eastAsia="Arial" w:hAnsi="Calibri" w:cs="Calibri"/>
          <w:color w:val="000000"/>
          <w:sz w:val="24"/>
          <w:szCs w:val="24"/>
        </w:rPr>
        <w:t>to consider disciplinary proceedings</w:t>
      </w:r>
      <w:r w:rsidR="00586494" w:rsidRPr="00CA2C15">
        <w:rPr>
          <w:rFonts w:ascii="Calibri" w:eastAsia="Arial" w:hAnsi="Calibri" w:cs="Calibri"/>
          <w:color w:val="000000"/>
          <w:sz w:val="24"/>
          <w:szCs w:val="24"/>
        </w:rPr>
        <w:t xml:space="preserve"> and/ or considering a wasted costs order against the legal representative.</w:t>
      </w:r>
    </w:p>
    <w:p w14:paraId="575E7C6D" w14:textId="61BF916E" w:rsidR="00D14D29" w:rsidRPr="00CA2C15" w:rsidRDefault="00B935ED" w:rsidP="002A5253">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recent case of </w:t>
      </w:r>
      <w:r w:rsidRPr="00CA2C15">
        <w:rPr>
          <w:rFonts w:ascii="Calibri" w:eastAsia="Arial" w:hAnsi="Calibri" w:cs="Calibri"/>
          <w:i/>
          <w:iCs/>
          <w:color w:val="000000"/>
          <w:sz w:val="24"/>
          <w:szCs w:val="24"/>
        </w:rPr>
        <w:t>DVP v. SSHD</w:t>
      </w:r>
      <w:r w:rsidRPr="00CA2C15">
        <w:rPr>
          <w:rFonts w:ascii="Calibri" w:eastAsia="Arial" w:hAnsi="Calibri" w:cs="Calibri"/>
          <w:color w:val="000000"/>
          <w:sz w:val="24"/>
          <w:szCs w:val="24"/>
        </w:rPr>
        <w:t xml:space="preserve"> [2021] EWHC 606 (Admin) emphasised the duties owed to the court by legal professionals when making urgent applications to the Administrative Court. It described the Administrative Court Judicial </w:t>
      </w:r>
      <w:r w:rsidRPr="00CA2C15">
        <w:rPr>
          <w:rFonts w:ascii="Calibri" w:eastAsia="Times New Roman" w:hAnsi="Calibri" w:cs="Calibri"/>
          <w:sz w:val="24"/>
          <w:szCs w:val="20"/>
          <w:lang w:val="en-GB"/>
        </w:rPr>
        <w:t>Review</w:t>
      </w:r>
      <w:r w:rsidRPr="00CA2C15">
        <w:rPr>
          <w:rFonts w:ascii="Calibri" w:eastAsia="Arial" w:hAnsi="Calibri" w:cs="Calibri"/>
          <w:color w:val="000000"/>
          <w:sz w:val="24"/>
          <w:szCs w:val="24"/>
        </w:rPr>
        <w:t xml:space="preserve"> Guide as “</w:t>
      </w:r>
      <w:r w:rsidRPr="00CA2C15">
        <w:rPr>
          <w:rFonts w:ascii="Calibri" w:eastAsia="Arial" w:hAnsi="Calibri" w:cs="Calibri"/>
          <w:i/>
          <w:color w:val="000000"/>
          <w:sz w:val="24"/>
          <w:szCs w:val="24"/>
        </w:rPr>
        <w:t>essential</w:t>
      </w:r>
      <w:r w:rsidRPr="00CA2C15">
        <w:rPr>
          <w:rFonts w:ascii="Calibri" w:eastAsia="Arial" w:hAnsi="Calibri" w:cs="Calibri"/>
          <w:color w:val="000000"/>
          <w:sz w:val="24"/>
          <w:szCs w:val="24"/>
        </w:rPr>
        <w:t xml:space="preserve"> reading”, which sets out the practice for urgent cases and applications for interim relief. The court reminded us at paragraph 78 that:</w:t>
      </w:r>
    </w:p>
    <w:p w14:paraId="09B8BBCC" w14:textId="5CAD245E" w:rsidR="00B935ED" w:rsidRPr="00CA2C15" w:rsidRDefault="00B935ED" w:rsidP="00D14D29">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rPr>
      </w:pPr>
      <w:r w:rsidRPr="00CA2C15">
        <w:rPr>
          <w:rFonts w:ascii="Calibri" w:eastAsia="Arial" w:hAnsi="Calibri" w:cs="Calibri"/>
          <w:i/>
          <w:color w:val="000000"/>
        </w:rPr>
        <w:t xml:space="preserve">“It is essential </w:t>
      </w:r>
      <w:r w:rsidR="000135A3" w:rsidRPr="00CA2C15">
        <w:rPr>
          <w:rFonts w:ascii="Calibri" w:eastAsia="Arial" w:hAnsi="Calibri" w:cs="Calibri"/>
          <w:i/>
          <w:color w:val="000000"/>
        </w:rPr>
        <w:t>th</w:t>
      </w:r>
      <w:r w:rsidRPr="00CA2C15">
        <w:rPr>
          <w:rFonts w:ascii="Calibri" w:eastAsia="Arial" w:hAnsi="Calibri" w:cs="Calibri"/>
          <w:i/>
          <w:color w:val="000000"/>
        </w:rPr>
        <w:t>at the court can have confidence in the thoroughness and objectivity of practitioners, solicitors and counsel, who make urgent applications in the Administrative Court. It follows that all who do so must understand their professional obligations, must prepare such applications with care, must comply with the requirements set out in the Guide and set out the information they are required to provide in the form N463.”</w:t>
      </w:r>
    </w:p>
    <w:p w14:paraId="0F0930D8" w14:textId="0DD4CC97" w:rsidR="00B935ED" w:rsidRPr="00CA2C15" w:rsidRDefault="00B935ED" w:rsidP="00FE54A2">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w:t>
      </w:r>
      <w:r w:rsidRPr="00CA2C15">
        <w:rPr>
          <w:rFonts w:ascii="Calibri" w:eastAsia="Arial" w:hAnsi="Calibri" w:cs="Calibri"/>
          <w:i/>
          <w:iCs/>
          <w:color w:val="000000"/>
          <w:sz w:val="24"/>
          <w:szCs w:val="24"/>
        </w:rPr>
        <w:t>DVP</w:t>
      </w:r>
      <w:r w:rsidRPr="00CA2C15">
        <w:rPr>
          <w:rFonts w:ascii="Calibri" w:eastAsia="Arial" w:hAnsi="Calibri" w:cs="Calibri"/>
          <w:color w:val="000000"/>
          <w:sz w:val="24"/>
          <w:szCs w:val="24"/>
        </w:rPr>
        <w:t xml:space="preserve">, the court held that in the underlying judicial review claims – which concerned asylum seekers accommodated at the Penally Camp in </w:t>
      </w:r>
      <w:r w:rsidRPr="00CA2C15">
        <w:rPr>
          <w:rFonts w:ascii="Calibri" w:eastAsia="Times New Roman" w:hAnsi="Calibri" w:cs="Calibri"/>
          <w:sz w:val="24"/>
          <w:szCs w:val="20"/>
          <w:lang w:val="en-GB"/>
        </w:rPr>
        <w:t>Pembrokeshire</w:t>
      </w:r>
      <w:r w:rsidRPr="00CA2C15">
        <w:rPr>
          <w:rFonts w:ascii="Calibri" w:eastAsia="Arial" w:hAnsi="Calibri" w:cs="Calibri"/>
          <w:color w:val="000000"/>
          <w:sz w:val="24"/>
          <w:szCs w:val="24"/>
        </w:rPr>
        <w:t xml:space="preserve"> – the application “should never have been made” and there had been “a significant abuse of the ‘urgents’ procedures”, including</w:t>
      </w:r>
      <w:r w:rsidR="003E7277" w:rsidRPr="00CA2C15">
        <w:rPr>
          <w:rFonts w:ascii="Calibri" w:eastAsia="Arial" w:hAnsi="Calibri" w:cs="Calibri"/>
          <w:color w:val="000000"/>
          <w:sz w:val="24"/>
          <w:szCs w:val="24"/>
        </w:rPr>
        <w:t xml:space="preserve"> (</w:t>
      </w:r>
      <w:r w:rsidR="003E7277" w:rsidRPr="00CA2C15">
        <w:rPr>
          <w:rFonts w:ascii="Calibri" w:eastAsia="Arial" w:hAnsi="Calibri" w:cs="Calibri"/>
          <w:color w:val="000000"/>
          <w:spacing w:val="-2"/>
          <w:sz w:val="24"/>
          <w:szCs w:val="24"/>
        </w:rPr>
        <w:t>see §§56-77)</w:t>
      </w:r>
      <w:r w:rsidRPr="00CA2C15">
        <w:rPr>
          <w:rFonts w:ascii="Calibri" w:eastAsia="Arial" w:hAnsi="Calibri" w:cs="Calibri"/>
          <w:color w:val="000000"/>
          <w:sz w:val="24"/>
          <w:szCs w:val="24"/>
        </w:rPr>
        <w:t>:</w:t>
      </w:r>
    </w:p>
    <w:p w14:paraId="6EA376A1" w14:textId="77777777" w:rsidR="00B935ED" w:rsidRPr="00CA2C15" w:rsidRDefault="00B935ED" w:rsidP="00162763">
      <w:pPr>
        <w:pStyle w:val="ListParagraph"/>
        <w:numPr>
          <w:ilvl w:val="0"/>
          <w:numId w:val="4"/>
        </w:numPr>
        <w:spacing w:after="160" w:line="360" w:lineRule="auto"/>
        <w:ind w:left="709" w:hanging="709"/>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Lack of exceptional urgency or urgency;</w:t>
      </w:r>
    </w:p>
    <w:p w14:paraId="100AE61E" w14:textId="77777777" w:rsidR="00B935ED" w:rsidRPr="00CA2C15" w:rsidRDefault="00B935ED" w:rsidP="00162763">
      <w:pPr>
        <w:pStyle w:val="ListParagraph"/>
        <w:numPr>
          <w:ilvl w:val="0"/>
          <w:numId w:val="4"/>
        </w:numPr>
        <w:spacing w:after="160" w:line="360" w:lineRule="auto"/>
        <w:ind w:left="709" w:hanging="709"/>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Failure to properly complete the N463 form – in particular, it had been a fundamental mistake to complete the form by simply cross-referencing other documents in the court bundle, rather than explaining on the form what the application was about and why it was said to be urgent;</w:t>
      </w:r>
    </w:p>
    <w:p w14:paraId="0D2AC878" w14:textId="5C92FA26" w:rsidR="00B935ED" w:rsidRPr="00CA2C15" w:rsidRDefault="00B935ED" w:rsidP="00162763">
      <w:pPr>
        <w:pStyle w:val="ListParagraph"/>
        <w:numPr>
          <w:ilvl w:val="0"/>
          <w:numId w:val="4"/>
        </w:numPr>
        <w:spacing w:after="160" w:line="360" w:lineRule="auto"/>
        <w:ind w:left="709" w:hanging="709"/>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Purporting to act without any instructions – the six claimants had been transferred out of the Penally Camp before the claim was filed, but the claimants’ representatives purported to bring the claim for the benefit of other people accommodated at the camp who had not instructed them;</w:t>
      </w:r>
    </w:p>
    <w:p w14:paraId="3D596695" w14:textId="7EBC2050" w:rsidR="00B935ED" w:rsidRPr="00CA2C15" w:rsidRDefault="00B935ED" w:rsidP="00162763">
      <w:pPr>
        <w:pStyle w:val="ListParagraph"/>
        <w:numPr>
          <w:ilvl w:val="0"/>
          <w:numId w:val="4"/>
        </w:numPr>
        <w:spacing w:after="160" w:line="360" w:lineRule="auto"/>
        <w:ind w:left="709" w:hanging="709"/>
        <w:contextualSpacing w:val="0"/>
        <w:jc w:val="both"/>
        <w:rPr>
          <w:rFonts w:ascii="Calibri" w:eastAsia="Arial" w:hAnsi="Calibri" w:cs="Calibri"/>
          <w:color w:val="000000"/>
          <w:sz w:val="24"/>
          <w:szCs w:val="24"/>
        </w:rPr>
      </w:pPr>
      <w:r w:rsidRPr="00CA2C15">
        <w:rPr>
          <w:rFonts w:ascii="Calibri" w:eastAsia="Arial" w:hAnsi="Calibri" w:cs="Calibri"/>
          <w:color w:val="000000"/>
          <w:sz w:val="24"/>
          <w:szCs w:val="24"/>
        </w:rPr>
        <w:t>Breach of duty of candour – the claimants’ representatives failed to comply with the duty of candour in completing the N463 form, including by not identifying that the claimants had all left the Penally Camp, not explaining the delay in making the application, and not drawing the court’s attention to the extensive pre-action correspondence which included the Defendant’s response to the proposed claim.</w:t>
      </w:r>
    </w:p>
    <w:p w14:paraId="42DB7914" w14:textId="2F1DED41" w:rsidR="00CD4222" w:rsidRPr="00CA2C15" w:rsidRDefault="00B935ED" w:rsidP="003B031A">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court gave </w:t>
      </w:r>
      <w:r w:rsidRPr="00CA2C15">
        <w:rPr>
          <w:rFonts w:ascii="Calibri" w:eastAsia="Arial" w:hAnsi="Calibri" w:cs="Calibri"/>
          <w:i/>
          <w:color w:val="000000"/>
          <w:sz w:val="24"/>
          <w:szCs w:val="24"/>
        </w:rPr>
        <w:t xml:space="preserve">“very careful consideration” </w:t>
      </w:r>
      <w:r w:rsidRPr="00CA2C15">
        <w:rPr>
          <w:rFonts w:ascii="Calibri" w:eastAsia="Arial" w:hAnsi="Calibri" w:cs="Calibri"/>
          <w:color w:val="000000"/>
          <w:sz w:val="24"/>
          <w:szCs w:val="24"/>
        </w:rPr>
        <w:t xml:space="preserve">to referring the claimants’ </w:t>
      </w:r>
      <w:r w:rsidRPr="00CA2C15">
        <w:rPr>
          <w:rFonts w:ascii="Calibri" w:eastAsia="Arial" w:hAnsi="Calibri" w:cs="Calibri"/>
          <w:i/>
          <w:color w:val="000000"/>
          <w:sz w:val="24"/>
          <w:szCs w:val="24"/>
        </w:rPr>
        <w:t>representatives</w:t>
      </w:r>
      <w:r w:rsidRPr="00CA2C15">
        <w:rPr>
          <w:rFonts w:ascii="Calibri" w:eastAsia="Arial" w:hAnsi="Calibri" w:cs="Calibri"/>
          <w:color w:val="000000"/>
          <w:sz w:val="24"/>
          <w:szCs w:val="24"/>
        </w:rPr>
        <w:t xml:space="preserve"> to their</w:t>
      </w:r>
      <w:r w:rsidR="003E4FCB"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professional regulators, but decided not to do so as those representatives accepted responsibility and apologised to the court.</w:t>
      </w:r>
    </w:p>
    <w:p w14:paraId="11F55276" w14:textId="77777777" w:rsidR="003E4FCB" w:rsidRPr="00CA2C15" w:rsidRDefault="00B935ED" w:rsidP="003B031A">
      <w:pPr>
        <w:numPr>
          <w:ilvl w:val="0"/>
          <w:numId w:val="4"/>
        </w:numPr>
        <w:tabs>
          <w:tab w:val="num" w:pos="1430"/>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See also </w:t>
      </w:r>
      <w:r w:rsidRPr="00CA2C15">
        <w:rPr>
          <w:rFonts w:ascii="Calibri" w:eastAsia="Arial" w:hAnsi="Calibri" w:cs="Calibri"/>
          <w:i/>
          <w:iCs/>
          <w:color w:val="000000"/>
          <w:spacing w:val="-2"/>
          <w:sz w:val="24"/>
          <w:szCs w:val="24"/>
        </w:rPr>
        <w:t>R (Butt) v. SSHD</w:t>
      </w:r>
      <w:r w:rsidRPr="00CA2C15">
        <w:rPr>
          <w:rFonts w:ascii="Calibri" w:eastAsia="Arial" w:hAnsi="Calibri" w:cs="Calibri"/>
          <w:color w:val="000000"/>
          <w:spacing w:val="-2"/>
          <w:sz w:val="24"/>
          <w:szCs w:val="24"/>
        </w:rPr>
        <w:t xml:space="preserve"> [2014] EWHC 264 (Admin) and </w:t>
      </w:r>
      <w:r w:rsidRPr="00CA2C15">
        <w:rPr>
          <w:rFonts w:ascii="Calibri" w:eastAsia="Arial" w:hAnsi="Calibri" w:cs="Calibri"/>
          <w:i/>
          <w:iCs/>
          <w:color w:val="000000"/>
          <w:spacing w:val="-2"/>
          <w:sz w:val="24"/>
          <w:szCs w:val="24"/>
        </w:rPr>
        <w:t xml:space="preserve">R (Kozlowski) v. </w:t>
      </w:r>
      <w:r w:rsidRPr="00CA2C15">
        <w:rPr>
          <w:rFonts w:ascii="Calibri" w:eastAsia="Arial" w:hAnsi="Calibri" w:cs="Calibri"/>
          <w:color w:val="000000"/>
          <w:sz w:val="24"/>
          <w:szCs w:val="24"/>
        </w:rPr>
        <w:t>SOCA</w:t>
      </w:r>
      <w:r w:rsidRPr="00CA2C15">
        <w:rPr>
          <w:rFonts w:ascii="Calibri" w:eastAsia="Arial" w:hAnsi="Calibri" w:cs="Calibri"/>
          <w:i/>
          <w:iCs/>
          <w:color w:val="000000"/>
          <w:spacing w:val="-2"/>
          <w:sz w:val="24"/>
          <w:szCs w:val="24"/>
        </w:rPr>
        <w:t xml:space="preserve"> &amp; CPS</w:t>
      </w:r>
      <w:r w:rsidRPr="00CA2C15">
        <w:rPr>
          <w:rFonts w:ascii="Calibri" w:eastAsia="Arial" w:hAnsi="Calibri" w:cs="Calibri"/>
          <w:color w:val="000000"/>
          <w:spacing w:val="-2"/>
          <w:sz w:val="24"/>
          <w:szCs w:val="24"/>
        </w:rPr>
        <w:t xml:space="preserve"> [2013] EWHC 1741 (Admin), and </w:t>
      </w:r>
      <w:r w:rsidRPr="00CA2C15">
        <w:rPr>
          <w:rFonts w:ascii="Calibri" w:eastAsia="Arial" w:hAnsi="Calibri" w:cs="Calibri"/>
          <w:i/>
          <w:iCs/>
          <w:color w:val="000000"/>
          <w:spacing w:val="-2"/>
          <w:sz w:val="24"/>
          <w:szCs w:val="24"/>
        </w:rPr>
        <w:t>R (Sathivel and ors) v. SSHD</w:t>
      </w:r>
      <w:r w:rsidRPr="00CA2C15">
        <w:rPr>
          <w:rFonts w:ascii="Calibri" w:eastAsia="Arial" w:hAnsi="Calibri" w:cs="Calibri"/>
          <w:color w:val="000000"/>
          <w:spacing w:val="-2"/>
          <w:sz w:val="24"/>
          <w:szCs w:val="24"/>
        </w:rPr>
        <w:t xml:space="preserve"> [2018] EWHC 913 (Admin). In Sathivel the Divisional Court referred solicitors to the </w:t>
      </w:r>
      <w:r w:rsidRPr="00CA2C15">
        <w:rPr>
          <w:rFonts w:ascii="Calibri" w:eastAsia="Arial" w:hAnsi="Calibri" w:cs="Calibri"/>
          <w:iCs/>
          <w:color w:val="000000"/>
          <w:sz w:val="24"/>
          <w:szCs w:val="24"/>
        </w:rPr>
        <w:t>SRA</w:t>
      </w:r>
      <w:r w:rsidRPr="00CA2C15">
        <w:rPr>
          <w:rFonts w:ascii="Calibri" w:eastAsia="Arial" w:hAnsi="Calibri" w:cs="Calibri"/>
          <w:color w:val="000000"/>
          <w:spacing w:val="-2"/>
          <w:sz w:val="24"/>
          <w:szCs w:val="24"/>
        </w:rPr>
        <w:t xml:space="preserve"> for full investigation due to misconduct when making urgent applications for injunctions and warned of a stricter line being taken in the future (at §97):</w:t>
      </w:r>
    </w:p>
    <w:p w14:paraId="0FF1C22D" w14:textId="34D7E2CC" w:rsidR="00B935ED" w:rsidRPr="00CA2C15" w:rsidRDefault="00B935ED" w:rsidP="003E4FCB">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spacing w:val="-2"/>
        </w:rPr>
      </w:pPr>
      <w:r w:rsidRPr="00CA2C15">
        <w:rPr>
          <w:rFonts w:ascii="Calibri" w:eastAsia="Arial" w:hAnsi="Calibri" w:cs="Calibri"/>
          <w:i/>
          <w:color w:val="000000"/>
          <w:spacing w:val="-1"/>
        </w:rPr>
        <w:t>“the duty owed by legal practitioners in this area to the Court is paramount. This duty includes an obligation on practitioners to ensure that they are fully equipped with all relevant documentation before commencing proceedings or making applications and this means that practitioners must make real efforts to obtain documents from previously instructed solicitors. It means that practitioners must act candidly and bring to the attention of the Court or tribunal gaps and lacuna in their evidence. It means that practitioners must avoid delaying the brin</w:t>
      </w:r>
      <w:r w:rsidR="00E75117" w:rsidRPr="00CA2C15">
        <w:rPr>
          <w:rFonts w:ascii="Calibri" w:eastAsia="Arial" w:hAnsi="Calibri" w:cs="Calibri"/>
          <w:i/>
          <w:color w:val="000000"/>
          <w:spacing w:val="-1"/>
        </w:rPr>
        <w:t>g</w:t>
      </w:r>
      <w:r w:rsidRPr="00CA2C15">
        <w:rPr>
          <w:rFonts w:ascii="Calibri" w:eastAsia="Arial" w:hAnsi="Calibri" w:cs="Calibri"/>
          <w:i/>
          <w:color w:val="000000"/>
          <w:spacing w:val="-1"/>
        </w:rPr>
        <w:t>ing of urgent applications. It means that there must be a halt to Grounds which (objectively) the draftsperson must know are wholly bereft of merit and are being advanced simply as part of an effort to cause delay.”</w:t>
      </w:r>
    </w:p>
    <w:p w14:paraId="48B2F2DE" w14:textId="0D526230" w:rsidR="00B935ED" w:rsidRPr="00CA2C15" w:rsidRDefault="00B935ED" w:rsidP="003B031A">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We strongly advise that you include in the draft </w:t>
      </w:r>
      <w:r w:rsidR="00492487" w:rsidRPr="00CA2C15">
        <w:rPr>
          <w:rFonts w:ascii="Calibri" w:eastAsia="Arial" w:hAnsi="Calibri" w:cs="Calibri"/>
          <w:color w:val="000000"/>
          <w:sz w:val="24"/>
          <w:szCs w:val="24"/>
        </w:rPr>
        <w:t>o</w:t>
      </w:r>
      <w:r w:rsidRPr="00CA2C15">
        <w:rPr>
          <w:rFonts w:ascii="Calibri" w:eastAsia="Arial" w:hAnsi="Calibri" w:cs="Calibri"/>
          <w:color w:val="000000"/>
          <w:sz w:val="24"/>
          <w:szCs w:val="24"/>
        </w:rPr>
        <w:t xml:space="preserve">rder an undertaking to file an </w:t>
      </w:r>
      <w:r w:rsidRPr="00CA2C15">
        <w:rPr>
          <w:rFonts w:ascii="Calibri" w:eastAsia="Times New Roman" w:hAnsi="Calibri" w:cs="Calibri"/>
          <w:sz w:val="24"/>
          <w:szCs w:val="20"/>
          <w:lang w:val="en-GB"/>
        </w:rPr>
        <w:t>attendance</w:t>
      </w:r>
      <w:r w:rsidRPr="00CA2C15">
        <w:rPr>
          <w:rFonts w:ascii="Calibri" w:eastAsia="Arial" w:hAnsi="Calibri" w:cs="Calibri"/>
          <w:color w:val="000000"/>
          <w:sz w:val="24"/>
          <w:szCs w:val="24"/>
        </w:rPr>
        <w:t xml:space="preserve"> note of your application, and you prepare a contemporaneous note which includes all issues and documents which you put before the </w:t>
      </w:r>
      <w:r w:rsidR="00492487" w:rsidRPr="00CA2C15">
        <w:rPr>
          <w:rFonts w:ascii="Calibri" w:eastAsia="Arial" w:hAnsi="Calibri" w:cs="Calibri"/>
          <w:color w:val="000000"/>
          <w:sz w:val="24"/>
          <w:szCs w:val="24"/>
        </w:rPr>
        <w:t>j</w:t>
      </w:r>
      <w:r w:rsidRPr="00CA2C15">
        <w:rPr>
          <w:rFonts w:ascii="Calibri" w:eastAsia="Arial" w:hAnsi="Calibri" w:cs="Calibri"/>
          <w:color w:val="000000"/>
          <w:sz w:val="24"/>
          <w:szCs w:val="24"/>
        </w:rPr>
        <w:t>udge.</w:t>
      </w:r>
    </w:p>
    <w:p w14:paraId="141C032C" w14:textId="518297AC" w:rsidR="00B935ED" w:rsidRPr="00CA2C15" w:rsidRDefault="00B935ED" w:rsidP="003B031A">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acting for a </w:t>
      </w:r>
      <w:r w:rsidR="003B031A"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when you are put on notice of a possible out-of-hours </w:t>
      </w:r>
      <w:r w:rsidRPr="00CA2C15">
        <w:rPr>
          <w:rFonts w:ascii="Calibri" w:eastAsia="Times New Roman" w:hAnsi="Calibri" w:cs="Calibri"/>
          <w:sz w:val="24"/>
          <w:szCs w:val="20"/>
          <w:lang w:val="en-GB"/>
        </w:rPr>
        <w:t>application</w:t>
      </w:r>
      <w:r w:rsidRPr="00CA2C15">
        <w:rPr>
          <w:rFonts w:ascii="Calibri" w:eastAsia="Arial" w:hAnsi="Calibri" w:cs="Calibri"/>
          <w:color w:val="000000"/>
          <w:sz w:val="24"/>
          <w:szCs w:val="24"/>
        </w:rPr>
        <w:t xml:space="preserve"> consider your position as quickly as possible. If you can agree a compromise to prevent the need for an out- of-hours application (for example, offering accommodation overnight in a homelessness case, pending you considering the matter more fully </w:t>
      </w:r>
      <w:r w:rsidRPr="00CA2C15">
        <w:rPr>
          <w:rFonts w:ascii="Calibri" w:eastAsia="Arial" w:hAnsi="Calibri" w:cs="Calibri"/>
          <w:iCs/>
          <w:color w:val="000000"/>
          <w:sz w:val="24"/>
          <w:szCs w:val="24"/>
        </w:rPr>
        <w:t>and</w:t>
      </w:r>
      <w:r w:rsidRPr="00CA2C15">
        <w:rPr>
          <w:rFonts w:ascii="Calibri" w:eastAsia="Arial" w:hAnsi="Calibri" w:cs="Calibri"/>
          <w:color w:val="000000"/>
          <w:sz w:val="24"/>
          <w:szCs w:val="24"/>
        </w:rPr>
        <w:t xml:space="preserve"> taking instructions) do so. If you consider the application to be ill-founded, set your position out clearly in writing, and expressly ask for your comments to be put before the </w:t>
      </w:r>
      <w:r w:rsidR="00FC2C3F" w:rsidRPr="00CA2C15">
        <w:rPr>
          <w:rFonts w:ascii="Calibri" w:eastAsia="Arial" w:hAnsi="Calibri" w:cs="Calibri"/>
          <w:color w:val="000000"/>
          <w:sz w:val="24"/>
          <w:szCs w:val="24"/>
        </w:rPr>
        <w:t>j</w:t>
      </w:r>
      <w:r w:rsidRPr="00CA2C15">
        <w:rPr>
          <w:rFonts w:ascii="Calibri" w:eastAsia="Arial" w:hAnsi="Calibri" w:cs="Calibri"/>
          <w:color w:val="000000"/>
          <w:sz w:val="24"/>
          <w:szCs w:val="24"/>
        </w:rPr>
        <w:t>udge if an application is made.</w:t>
      </w:r>
    </w:p>
    <w:p w14:paraId="15BF0799" w14:textId="5651EFE5" w:rsidR="00C37D3E" w:rsidRPr="00CA2C15" w:rsidRDefault="00B935ED" w:rsidP="003B031A">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For the Claimant, if the out-of-hours </w:t>
      </w:r>
      <w:r w:rsidR="00051FBC"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 makes a determination, whether or not your out-of-hours application is successful, in accordance with CPR 25A PD 4.5 you </w:t>
      </w:r>
      <w:r w:rsidRPr="00CA2C15">
        <w:rPr>
          <w:rFonts w:ascii="Calibri" w:eastAsia="Times New Roman" w:hAnsi="Calibri" w:cs="Calibri"/>
          <w:sz w:val="24"/>
          <w:szCs w:val="20"/>
          <w:lang w:val="en-GB"/>
        </w:rPr>
        <w:t>must</w:t>
      </w:r>
      <w:r w:rsidRPr="00CA2C15">
        <w:rPr>
          <w:rFonts w:ascii="Calibri" w:eastAsia="Arial" w:hAnsi="Calibri" w:cs="Calibri"/>
          <w:color w:val="000000"/>
          <w:sz w:val="24"/>
          <w:szCs w:val="24"/>
        </w:rPr>
        <w:t xml:space="preserve"> file a copy of your out-of- hours application with the court </w:t>
      </w:r>
      <w:r w:rsidR="00591ACA" w:rsidRPr="00CA2C15">
        <w:rPr>
          <w:rFonts w:ascii="Calibri" w:eastAsia="Arial" w:hAnsi="Calibri" w:cs="Calibri"/>
          <w:color w:val="000000"/>
          <w:sz w:val="24"/>
          <w:szCs w:val="24"/>
        </w:rPr>
        <w:t xml:space="preserve">on the same or </w:t>
      </w:r>
      <w:r w:rsidRPr="00CA2C15">
        <w:rPr>
          <w:rFonts w:ascii="Calibri" w:eastAsia="Arial" w:hAnsi="Calibri" w:cs="Calibri"/>
          <w:color w:val="000000"/>
          <w:sz w:val="24"/>
          <w:szCs w:val="24"/>
        </w:rPr>
        <w:t xml:space="preserve">next working day, together with the application fee. You should send the form and fee to the </w:t>
      </w:r>
      <w:r w:rsidR="00CC5B04" w:rsidRPr="00CA2C15">
        <w:rPr>
          <w:rFonts w:ascii="Calibri" w:eastAsia="Arial" w:hAnsi="Calibri" w:cs="Calibri"/>
          <w:color w:val="000000"/>
          <w:sz w:val="24"/>
          <w:szCs w:val="24"/>
        </w:rPr>
        <w:t>RCJ</w:t>
      </w:r>
      <w:r w:rsidRPr="00CA2C15">
        <w:rPr>
          <w:rFonts w:ascii="Calibri" w:eastAsia="Arial" w:hAnsi="Calibri" w:cs="Calibri"/>
          <w:color w:val="000000"/>
          <w:sz w:val="24"/>
          <w:szCs w:val="24"/>
        </w:rPr>
        <w:t xml:space="preserve"> Fees Office. You must pay this fee in addition to any fee required for any other application/claim the judge directs you to </w:t>
      </w:r>
      <w:r w:rsidR="00DC2227" w:rsidRPr="00CA2C15">
        <w:rPr>
          <w:rFonts w:ascii="Calibri" w:eastAsia="Arial" w:hAnsi="Calibri" w:cs="Calibri"/>
          <w:color w:val="000000"/>
          <w:sz w:val="24"/>
          <w:szCs w:val="24"/>
        </w:rPr>
        <w:t>file/</w:t>
      </w:r>
      <w:r w:rsidRPr="00CA2C15">
        <w:rPr>
          <w:rFonts w:ascii="Calibri" w:eastAsia="Arial" w:hAnsi="Calibri" w:cs="Calibri"/>
          <w:color w:val="000000"/>
          <w:sz w:val="24"/>
          <w:szCs w:val="24"/>
        </w:rPr>
        <w:t>issue.</w:t>
      </w:r>
    </w:p>
    <w:p w14:paraId="02D721C9" w14:textId="68BA3D56"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pacing w:val="-2"/>
          <w:sz w:val="24"/>
          <w:szCs w:val="24"/>
        </w:rPr>
        <w:t>Return Dates</w:t>
      </w:r>
    </w:p>
    <w:p w14:paraId="1237CFA6" w14:textId="29FA6C00" w:rsidR="00B935ED" w:rsidRPr="00CA2C15" w:rsidRDefault="00B935ED" w:rsidP="00DC2227">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Sometimes the Court may grant interim relief temporarily, on an ex parte basis, but order that a hearing take place on notice to the other side. Tactically, if you are acting for a Claimant in a case of real urgency but where there are strong </w:t>
      </w:r>
      <w:r w:rsidRPr="00CA2C15">
        <w:rPr>
          <w:rFonts w:ascii="Calibri" w:eastAsia="Times New Roman" w:hAnsi="Calibri" w:cs="Calibri"/>
          <w:sz w:val="24"/>
          <w:szCs w:val="20"/>
          <w:lang w:val="en-GB"/>
        </w:rPr>
        <w:t>arguments</w:t>
      </w:r>
      <w:r w:rsidRPr="00CA2C15">
        <w:rPr>
          <w:rFonts w:ascii="Calibri" w:eastAsia="Arial" w:hAnsi="Calibri" w:cs="Calibri"/>
          <w:color w:val="000000"/>
          <w:sz w:val="24"/>
          <w:szCs w:val="24"/>
        </w:rPr>
        <w:t xml:space="preserve"> against you, requesting interim relief for a short (24 or 48hour) period followed by a return date can be sensible.</w:t>
      </w:r>
    </w:p>
    <w:p w14:paraId="0225CC8E" w14:textId="77777777" w:rsidR="00B935ED" w:rsidRPr="00CA2C15" w:rsidRDefault="00B935ED" w:rsidP="00374543">
      <w:pPr>
        <w:spacing w:after="240" w:line="360" w:lineRule="auto"/>
        <w:ind w:left="216" w:firstLine="504"/>
        <w:jc w:val="both"/>
        <w:textAlignment w:val="baseline"/>
        <w:rPr>
          <w:rFonts w:ascii="Calibri" w:eastAsia="Arial" w:hAnsi="Calibri" w:cs="Calibri"/>
          <w:b/>
          <w:color w:val="000000"/>
          <w:sz w:val="24"/>
          <w:szCs w:val="24"/>
        </w:rPr>
      </w:pPr>
      <w:r w:rsidRPr="00CA2C15">
        <w:rPr>
          <w:rFonts w:ascii="Calibri" w:eastAsia="Arial" w:hAnsi="Calibri" w:cs="Calibri"/>
          <w:b/>
          <w:color w:val="000000"/>
          <w:sz w:val="24"/>
          <w:szCs w:val="24"/>
        </w:rPr>
        <w:t>Applying to Set Aside an Interim Order</w:t>
      </w:r>
    </w:p>
    <w:p w14:paraId="7F25255F" w14:textId="416298AD" w:rsidR="00B935ED" w:rsidRPr="00CA2C15" w:rsidRDefault="00B935ED" w:rsidP="006E3FA4">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acting for a Defendant, you may wish to object to an </w:t>
      </w:r>
      <w:r w:rsidR="00535DD7" w:rsidRPr="00CA2C15">
        <w:rPr>
          <w:rFonts w:ascii="Calibri" w:eastAsia="Arial" w:hAnsi="Calibri" w:cs="Calibri"/>
          <w:color w:val="000000"/>
          <w:sz w:val="24"/>
          <w:szCs w:val="24"/>
        </w:rPr>
        <w:t>o</w:t>
      </w:r>
      <w:r w:rsidRPr="00CA2C15">
        <w:rPr>
          <w:rFonts w:ascii="Calibri" w:eastAsia="Arial" w:hAnsi="Calibri" w:cs="Calibri"/>
          <w:color w:val="000000"/>
          <w:sz w:val="24"/>
          <w:szCs w:val="24"/>
        </w:rPr>
        <w:t xml:space="preserve">rder which has been made, and apply to have it set aside or varied. In </w:t>
      </w:r>
      <w:r w:rsidRPr="00CA2C15">
        <w:rPr>
          <w:rFonts w:ascii="Calibri" w:eastAsia="Arial" w:hAnsi="Calibri" w:cs="Calibri"/>
          <w:iCs/>
          <w:color w:val="000000"/>
          <w:sz w:val="24"/>
          <w:szCs w:val="24"/>
        </w:rPr>
        <w:t xml:space="preserve">those </w:t>
      </w:r>
      <w:r w:rsidRPr="00CA2C15">
        <w:rPr>
          <w:rFonts w:ascii="Calibri" w:eastAsia="Arial" w:hAnsi="Calibri" w:cs="Calibri"/>
          <w:color w:val="000000"/>
          <w:sz w:val="24"/>
          <w:szCs w:val="24"/>
        </w:rPr>
        <w:t xml:space="preserve">circumstances, you should </w:t>
      </w:r>
      <w:r w:rsidRPr="00CA2C15">
        <w:rPr>
          <w:rFonts w:ascii="Calibri" w:eastAsia="Times New Roman" w:hAnsi="Calibri" w:cs="Calibri"/>
          <w:sz w:val="24"/>
          <w:szCs w:val="20"/>
          <w:lang w:val="en-GB"/>
        </w:rPr>
        <w:t>write</w:t>
      </w:r>
      <w:r w:rsidRPr="00CA2C15">
        <w:rPr>
          <w:rFonts w:ascii="Calibri" w:eastAsia="Arial" w:hAnsi="Calibri" w:cs="Calibri"/>
          <w:color w:val="000000"/>
          <w:sz w:val="24"/>
          <w:szCs w:val="24"/>
        </w:rPr>
        <w:t xml:space="preserve"> to the </w:t>
      </w:r>
      <w:r w:rsidR="00BA74C0"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setting out your concerns. It may be possible for there to be a variation by agreement. If no agreement is reached, you may need to apply to the </w:t>
      </w:r>
      <w:r w:rsidR="0071777D"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for the </w:t>
      </w:r>
      <w:r w:rsidR="0071777D" w:rsidRPr="00CA2C15">
        <w:rPr>
          <w:rFonts w:ascii="Calibri" w:eastAsia="Arial" w:hAnsi="Calibri" w:cs="Calibri"/>
          <w:color w:val="000000"/>
          <w:sz w:val="24"/>
          <w:szCs w:val="24"/>
        </w:rPr>
        <w:t>o</w:t>
      </w:r>
      <w:r w:rsidRPr="00CA2C15">
        <w:rPr>
          <w:rFonts w:ascii="Calibri" w:eastAsia="Arial" w:hAnsi="Calibri" w:cs="Calibri"/>
          <w:color w:val="000000"/>
          <w:sz w:val="24"/>
          <w:szCs w:val="24"/>
        </w:rPr>
        <w:t>rder to be set aside or varied.</w:t>
      </w:r>
    </w:p>
    <w:p w14:paraId="03D9B344" w14:textId="5A7B7AB3" w:rsidR="00C37D3E" w:rsidRPr="00CA2C15" w:rsidRDefault="00B935ED" w:rsidP="006E3FA4">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Concerns have been raised with the Administrative Court Users’ Group </w:t>
      </w:r>
      <w:r w:rsidRPr="00CA2C15">
        <w:rPr>
          <w:rFonts w:ascii="Calibri" w:eastAsia="Times New Roman" w:hAnsi="Calibri" w:cs="Calibri"/>
          <w:sz w:val="24"/>
          <w:szCs w:val="20"/>
          <w:lang w:val="en-GB"/>
        </w:rPr>
        <w:t>regarding</w:t>
      </w:r>
      <w:r w:rsidRPr="00CA2C15">
        <w:rPr>
          <w:rFonts w:ascii="Calibri" w:eastAsia="Arial" w:hAnsi="Calibri" w:cs="Calibri"/>
          <w:color w:val="000000"/>
          <w:sz w:val="24"/>
          <w:szCs w:val="24"/>
        </w:rPr>
        <w:t xml:space="preserve"> the absence of a simple process for such applications. They are made by using the standard Application Notice, the N244 or PF244. However</w:t>
      </w:r>
      <w:r w:rsidR="00C37D3E"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there is no ‘urgent’ equivalent for a </w:t>
      </w:r>
      <w:r w:rsidR="00045C37"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 no mirror document to the N463  </w:t>
      </w:r>
      <w:r w:rsidR="00AB1214" w:rsidRPr="00CA2C15">
        <w:rPr>
          <w:rFonts w:ascii="Calibri" w:eastAsia="Arial" w:hAnsi="Calibri" w:cs="Calibri"/>
          <w:color w:val="000000"/>
          <w:sz w:val="24"/>
          <w:szCs w:val="24"/>
        </w:rPr>
        <w:t xml:space="preserve">which </w:t>
      </w:r>
      <w:r w:rsidR="00045C37"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laimants</w:t>
      </w:r>
      <w:r w:rsidR="00026421" w:rsidRPr="00CA2C15">
        <w:rPr>
          <w:rFonts w:ascii="Calibri" w:eastAsia="Arial" w:hAnsi="Calibri" w:cs="Calibri"/>
          <w:color w:val="000000"/>
          <w:sz w:val="24"/>
          <w:szCs w:val="24"/>
        </w:rPr>
        <w:t xml:space="preserve"> use</w:t>
      </w:r>
      <w:r w:rsidRPr="00CA2C15">
        <w:rPr>
          <w:rFonts w:ascii="Calibri" w:eastAsia="Arial" w:hAnsi="Calibri" w:cs="Calibri"/>
          <w:color w:val="000000"/>
          <w:sz w:val="24"/>
          <w:szCs w:val="24"/>
        </w:rPr>
        <w:t>. Defendant practitioners complain that they have difficulty having such applications dealt with promptly. The advice from the Administrative Court is to clearly mark such applications as urgent and to raise any concerns regarding delay with senior ACO staf</w:t>
      </w:r>
      <w:r w:rsidR="00CD4222" w:rsidRPr="00CA2C15">
        <w:rPr>
          <w:rFonts w:ascii="Calibri" w:eastAsia="Arial" w:hAnsi="Calibri" w:cs="Calibri"/>
          <w:color w:val="000000"/>
          <w:sz w:val="24"/>
          <w:szCs w:val="24"/>
        </w:rPr>
        <w:t>f</w:t>
      </w:r>
      <w:r w:rsidR="00C37D3E" w:rsidRPr="00CA2C15">
        <w:rPr>
          <w:rFonts w:ascii="Calibri" w:eastAsia="Arial" w:hAnsi="Calibri" w:cs="Calibri"/>
          <w:color w:val="000000"/>
          <w:sz w:val="24"/>
          <w:szCs w:val="24"/>
        </w:rPr>
        <w:t>.</w:t>
      </w:r>
    </w:p>
    <w:p w14:paraId="3BDCEC97" w14:textId="4465E073" w:rsidR="00B935ED" w:rsidRPr="00CA2C15" w:rsidRDefault="00B935ED" w:rsidP="00C57816">
      <w:pPr>
        <w:spacing w:after="240" w:line="360" w:lineRule="auto"/>
        <w:ind w:firstLine="720"/>
        <w:textAlignment w:val="baseline"/>
        <w:rPr>
          <w:rFonts w:ascii="Calibri" w:eastAsia="Arial" w:hAnsi="Calibri" w:cs="Calibri"/>
          <w:b/>
          <w:color w:val="000000"/>
          <w:spacing w:val="-2"/>
          <w:sz w:val="24"/>
          <w:szCs w:val="24"/>
          <w:u w:val="single"/>
        </w:rPr>
      </w:pPr>
      <w:r w:rsidRPr="00CA2C15">
        <w:rPr>
          <w:rFonts w:ascii="Calibri" w:eastAsia="Arial" w:hAnsi="Calibri" w:cs="Calibri"/>
          <w:b/>
          <w:color w:val="000000"/>
          <w:spacing w:val="-2"/>
          <w:sz w:val="24"/>
          <w:szCs w:val="24"/>
          <w:u w:val="single"/>
        </w:rPr>
        <w:t xml:space="preserve">THE </w:t>
      </w:r>
      <w:r w:rsidRPr="00CA2C15">
        <w:rPr>
          <w:rFonts w:ascii="Calibri" w:eastAsia="Arial" w:hAnsi="Calibri" w:cs="Calibri"/>
          <w:b/>
          <w:color w:val="000000"/>
          <w:spacing w:val="-1"/>
          <w:sz w:val="24"/>
          <w:szCs w:val="24"/>
          <w:u w:val="single"/>
        </w:rPr>
        <w:t>PERMISSION</w:t>
      </w:r>
      <w:r w:rsidRPr="00CA2C15">
        <w:rPr>
          <w:rFonts w:ascii="Calibri" w:eastAsia="Arial" w:hAnsi="Calibri" w:cs="Calibri"/>
          <w:b/>
          <w:color w:val="000000"/>
          <w:spacing w:val="-2"/>
          <w:sz w:val="24"/>
          <w:szCs w:val="24"/>
          <w:u w:val="single"/>
        </w:rPr>
        <w:t xml:space="preserve"> DECISION</w:t>
      </w:r>
    </w:p>
    <w:p w14:paraId="256D424F" w14:textId="6ECC9297" w:rsidR="00B935ED" w:rsidRPr="00CA2C15" w:rsidRDefault="00B935ED" w:rsidP="00EE3067">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Ordinarily</w:t>
      </w:r>
      <w:r w:rsidRPr="00CA2C15">
        <w:rPr>
          <w:rFonts w:ascii="Calibri" w:eastAsia="Arial" w:hAnsi="Calibri" w:cs="Calibri"/>
          <w:color w:val="000000"/>
          <w:sz w:val="24"/>
          <w:szCs w:val="24"/>
        </w:rPr>
        <w:t xml:space="preserve"> this decision is first considered by a judge on the basis of the papers alone (i.e., without an oral hearing).</w:t>
      </w:r>
    </w:p>
    <w:p w14:paraId="4F36379A" w14:textId="6AB0C556" w:rsidR="00D94149" w:rsidRPr="00CA2C15" w:rsidRDefault="00B935ED" w:rsidP="00EE3067">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Pr="00CA2C15">
        <w:rPr>
          <w:rFonts w:ascii="Calibri" w:eastAsia="Arial" w:hAnsi="Calibri" w:cs="Calibri"/>
          <w:iCs/>
          <w:color w:val="000000"/>
          <w:sz w:val="24"/>
          <w:szCs w:val="24"/>
        </w:rPr>
        <w:t xml:space="preserve">permission </w:t>
      </w:r>
      <w:r w:rsidRPr="00CA2C15">
        <w:rPr>
          <w:rFonts w:ascii="Calibri" w:eastAsia="Arial" w:hAnsi="Calibri" w:cs="Calibri"/>
          <w:color w:val="000000"/>
          <w:sz w:val="24"/>
          <w:szCs w:val="24"/>
        </w:rPr>
        <w:t xml:space="preserve">stage is intended to be a filter for unsustainable claims, to shield public bodies from </w:t>
      </w:r>
      <w:r w:rsidRPr="00CA2C15">
        <w:rPr>
          <w:rFonts w:ascii="Calibri" w:eastAsia="Arial" w:hAnsi="Calibri" w:cs="Calibri"/>
          <w:i/>
          <w:color w:val="000000"/>
          <w:sz w:val="24"/>
          <w:szCs w:val="24"/>
        </w:rPr>
        <w:t>“weak and vexatious claims”</w:t>
      </w:r>
      <w:r w:rsidRPr="00CA2C15">
        <w:rPr>
          <w:rFonts w:ascii="Calibri" w:eastAsia="Arial" w:hAnsi="Calibri" w:cs="Calibri"/>
          <w:color w:val="000000"/>
          <w:sz w:val="24"/>
          <w:szCs w:val="24"/>
        </w:rPr>
        <w:t xml:space="preserve">: per Lord Bingham in </w:t>
      </w:r>
      <w:r w:rsidRPr="00CA2C15">
        <w:rPr>
          <w:rFonts w:ascii="Calibri" w:eastAsia="Arial" w:hAnsi="Calibri" w:cs="Calibri"/>
          <w:i/>
          <w:iCs/>
          <w:color w:val="000000"/>
          <w:sz w:val="24"/>
          <w:szCs w:val="24"/>
        </w:rPr>
        <w:t>R v. SSTI, ex parte Eastway</w:t>
      </w:r>
      <w:r w:rsidRPr="00CA2C15">
        <w:rPr>
          <w:rFonts w:ascii="Calibri" w:eastAsia="Arial" w:hAnsi="Calibri" w:cs="Calibri"/>
          <w:color w:val="000000"/>
          <w:sz w:val="24"/>
          <w:szCs w:val="24"/>
        </w:rPr>
        <w:t xml:space="preserve"> [2000] 1 WLR 2222. The test is, in </w:t>
      </w:r>
      <w:r w:rsidR="00C37D3E" w:rsidRPr="00CA2C15">
        <w:rPr>
          <w:rFonts w:ascii="Calibri" w:eastAsia="Arial" w:hAnsi="Calibri" w:cs="Calibri"/>
          <w:color w:val="000000"/>
          <w:sz w:val="24"/>
          <w:szCs w:val="24"/>
        </w:rPr>
        <w:t xml:space="preserve">theory, </w:t>
      </w:r>
      <w:r w:rsidR="00530600"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arguability’: whether the Claimant has a ‘realistic prospect of success’, or whether the Defendant has scored a ‘knock-out blow’ (see </w:t>
      </w:r>
      <w:r w:rsidRPr="00CA2C15">
        <w:rPr>
          <w:rFonts w:ascii="Calibri" w:eastAsia="Arial" w:hAnsi="Calibri" w:cs="Calibri"/>
          <w:i/>
          <w:iCs/>
          <w:color w:val="000000"/>
          <w:sz w:val="24"/>
          <w:szCs w:val="24"/>
        </w:rPr>
        <w:t>R (Ewing) v Deputy Prime Minister</w:t>
      </w:r>
      <w:r w:rsidRPr="00CA2C15">
        <w:rPr>
          <w:rFonts w:ascii="Calibri" w:eastAsia="Arial" w:hAnsi="Calibri" w:cs="Calibri"/>
          <w:color w:val="000000"/>
          <w:sz w:val="24"/>
          <w:szCs w:val="24"/>
        </w:rPr>
        <w:t xml:space="preserve"> [2005] EWCA Civ 1583). Lord Diplock in </w:t>
      </w:r>
      <w:r w:rsidRPr="00CA2C15">
        <w:rPr>
          <w:rFonts w:ascii="Calibri" w:eastAsia="Arial" w:hAnsi="Calibri" w:cs="Calibri"/>
          <w:i/>
          <w:iCs/>
          <w:color w:val="000000"/>
          <w:sz w:val="24"/>
          <w:szCs w:val="24"/>
        </w:rPr>
        <w:t>National Federation of Self-Employed and Small Businesses Ltd.</w:t>
      </w:r>
      <w:r w:rsidRPr="00CA2C15">
        <w:rPr>
          <w:rFonts w:ascii="Calibri" w:eastAsia="Arial" w:hAnsi="Calibri" w:cs="Calibri"/>
          <w:color w:val="000000"/>
          <w:sz w:val="24"/>
          <w:szCs w:val="24"/>
        </w:rPr>
        <w:t xml:space="preserve"> [1982] AC 617 at 644A suggested that permission should be granted where, </w:t>
      </w:r>
      <w:r w:rsidRPr="00CA2C15">
        <w:rPr>
          <w:rFonts w:ascii="Calibri" w:eastAsia="Arial" w:hAnsi="Calibri" w:cs="Calibri"/>
          <w:i/>
          <w:color w:val="000000"/>
          <w:sz w:val="24"/>
          <w:szCs w:val="24"/>
        </w:rPr>
        <w:t>“on a quick perusal of the material then available, the court thinks that it discloses what might on further consideration turn out to be an arguable case”</w:t>
      </w:r>
      <w:r w:rsidRPr="00CA2C15">
        <w:rPr>
          <w:rFonts w:ascii="Calibri" w:eastAsia="Arial" w:hAnsi="Calibri" w:cs="Calibri"/>
          <w:color w:val="000000"/>
          <w:sz w:val="24"/>
          <w:szCs w:val="24"/>
        </w:rPr>
        <w:t>. As the White Book notes at §54.4.2</w:t>
      </w:r>
      <w:r w:rsidR="006939D7" w:rsidRPr="00CA2C15">
        <w:rPr>
          <w:rFonts w:ascii="Calibri" w:eastAsia="Arial" w:hAnsi="Calibri" w:cs="Calibri"/>
          <w:color w:val="000000"/>
          <w:sz w:val="24"/>
          <w:szCs w:val="24"/>
        </w:rPr>
        <w:t>:</w:t>
      </w:r>
    </w:p>
    <w:p w14:paraId="676605AF" w14:textId="34D0F43A" w:rsidR="00B935ED" w:rsidRPr="00CA2C15" w:rsidRDefault="00B935ED" w:rsidP="00D94149">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rPr>
      </w:pPr>
      <w:r w:rsidRPr="00CA2C15">
        <w:rPr>
          <w:rFonts w:ascii="Calibri" w:eastAsia="Arial" w:hAnsi="Calibri" w:cs="Calibri"/>
          <w:i/>
          <w:color w:val="000000"/>
        </w:rPr>
        <w:t>“[t]he purpose of the requirement for permission is to eliminate at an early stage claims which are hopeless, frivolous or vexatious and to ensure that a claim only proceeds to a substantive hearing if the court is satisfied that there is a case fit for further consideration”.</w:t>
      </w:r>
    </w:p>
    <w:p w14:paraId="4FF4EC81" w14:textId="715DA992" w:rsidR="00B935ED" w:rsidRPr="00CA2C15" w:rsidRDefault="00B935ED" w:rsidP="00052F15">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However in practice the test applied at permission stage is far more stringent. For example, oral permission hearings (when needed) often last for an </w:t>
      </w:r>
      <w:r w:rsidRPr="00CA2C15">
        <w:rPr>
          <w:rFonts w:ascii="Calibri" w:eastAsia="Times New Roman" w:hAnsi="Calibri" w:cs="Calibri"/>
          <w:sz w:val="24"/>
          <w:szCs w:val="20"/>
          <w:lang w:val="en-GB"/>
        </w:rPr>
        <w:t>hour</w:t>
      </w:r>
      <w:r w:rsidRPr="00CA2C15">
        <w:rPr>
          <w:rFonts w:ascii="Calibri" w:eastAsia="Arial" w:hAnsi="Calibri" w:cs="Calibri"/>
          <w:color w:val="000000"/>
          <w:sz w:val="24"/>
          <w:szCs w:val="24"/>
        </w:rPr>
        <w:t xml:space="preserve"> or more, and the court adopts a searching, probing approach, exploring the strength of the substantive issues. This is why the reply to the A</w:t>
      </w:r>
      <w:r w:rsidR="00B0360F" w:rsidRPr="00CA2C15">
        <w:rPr>
          <w:rFonts w:ascii="Calibri" w:eastAsia="Arial" w:hAnsi="Calibri" w:cs="Calibri"/>
          <w:color w:val="000000"/>
          <w:sz w:val="24"/>
          <w:szCs w:val="24"/>
        </w:rPr>
        <w:t>oS</w:t>
      </w:r>
      <w:r w:rsidR="002B0CF9"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is particularly important for paper decisions.</w:t>
      </w:r>
    </w:p>
    <w:p w14:paraId="48EA92EE" w14:textId="77777777" w:rsidR="006F645A" w:rsidRPr="00CA2C15" w:rsidRDefault="00B935ED" w:rsidP="00052F15">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In considering the paper permission application, a judge can make the following types of orders (in each case with appropriate case management directions):</w:t>
      </w:r>
    </w:p>
    <w:p w14:paraId="6A47DDE5" w14:textId="3634B173" w:rsidR="006F645A" w:rsidRPr="00CA2C15" w:rsidRDefault="00B935ED" w:rsidP="00162763">
      <w:pPr>
        <w:numPr>
          <w:ilvl w:val="0"/>
          <w:numId w:val="41"/>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Permission is refused – in this situation, the claimant can renew the application to an oral hearing by filing a notice with the court within 7 days. Care must be taken in cases where the claimant is legally aided, to </w:t>
      </w:r>
      <w:r w:rsidR="00DF119F" w:rsidRPr="00CA2C15">
        <w:rPr>
          <w:rFonts w:ascii="Calibri" w:eastAsia="Arial" w:hAnsi="Calibri" w:cs="Calibri"/>
          <w:color w:val="000000"/>
          <w:sz w:val="24"/>
          <w:szCs w:val="24"/>
        </w:rPr>
        <w:t xml:space="preserve">apply urgently to </w:t>
      </w:r>
      <w:r w:rsidR="005F37FF" w:rsidRPr="00CA2C15">
        <w:rPr>
          <w:rFonts w:ascii="Calibri" w:eastAsia="Arial" w:hAnsi="Calibri" w:cs="Calibri"/>
          <w:color w:val="000000"/>
          <w:sz w:val="24"/>
          <w:szCs w:val="24"/>
        </w:rPr>
        <w:t>amend the scope of the legal aid certificat</w:t>
      </w:r>
      <w:r w:rsidR="007270C7" w:rsidRPr="00CA2C15">
        <w:rPr>
          <w:rFonts w:ascii="Calibri" w:eastAsia="Arial" w:hAnsi="Calibri" w:cs="Calibri"/>
          <w:color w:val="000000"/>
          <w:sz w:val="24"/>
          <w:szCs w:val="24"/>
        </w:rPr>
        <w:t>e</w:t>
      </w:r>
      <w:r w:rsidRPr="00CA2C15">
        <w:rPr>
          <w:rFonts w:ascii="Calibri" w:eastAsia="Arial" w:hAnsi="Calibri" w:cs="Calibri"/>
          <w:color w:val="000000"/>
          <w:sz w:val="24"/>
          <w:szCs w:val="24"/>
        </w:rPr>
        <w:t xml:space="preserve"> </w:t>
      </w:r>
      <w:r w:rsidR="007270C7" w:rsidRPr="00CA2C15">
        <w:rPr>
          <w:rFonts w:ascii="Calibri" w:eastAsia="Arial" w:hAnsi="Calibri" w:cs="Calibri"/>
          <w:color w:val="000000"/>
          <w:sz w:val="24"/>
          <w:szCs w:val="24"/>
        </w:rPr>
        <w:t xml:space="preserve">to include </w:t>
      </w:r>
      <w:r w:rsidR="00FD531E" w:rsidRPr="00CA2C15">
        <w:rPr>
          <w:rFonts w:ascii="Calibri" w:eastAsia="Arial" w:hAnsi="Calibri" w:cs="Calibri"/>
          <w:color w:val="000000"/>
          <w:sz w:val="24"/>
          <w:szCs w:val="24"/>
        </w:rPr>
        <w:t xml:space="preserve">the </w:t>
      </w:r>
      <w:r w:rsidRPr="00CA2C15">
        <w:rPr>
          <w:rFonts w:ascii="Calibri" w:eastAsia="Arial" w:hAnsi="Calibri" w:cs="Calibri"/>
          <w:color w:val="000000"/>
          <w:sz w:val="24"/>
          <w:szCs w:val="24"/>
        </w:rPr>
        <w:t xml:space="preserve">oral </w:t>
      </w:r>
      <w:r w:rsidR="00FD531E" w:rsidRPr="00CA2C15">
        <w:rPr>
          <w:rFonts w:ascii="Calibri" w:eastAsia="Arial" w:hAnsi="Calibri" w:cs="Calibri"/>
          <w:color w:val="000000"/>
          <w:sz w:val="24"/>
          <w:szCs w:val="24"/>
        </w:rPr>
        <w:t xml:space="preserve">renewal </w:t>
      </w:r>
      <w:r w:rsidRPr="00CA2C15">
        <w:rPr>
          <w:rFonts w:ascii="Calibri" w:eastAsia="Arial" w:hAnsi="Calibri" w:cs="Calibri"/>
          <w:color w:val="000000"/>
          <w:sz w:val="24"/>
          <w:szCs w:val="24"/>
        </w:rPr>
        <w:t>hearing</w:t>
      </w:r>
      <w:r w:rsidR="007270C7" w:rsidRPr="00CA2C15">
        <w:rPr>
          <w:rFonts w:ascii="Calibri" w:eastAsia="Arial" w:hAnsi="Calibri" w:cs="Calibri"/>
          <w:color w:val="000000"/>
          <w:sz w:val="24"/>
          <w:szCs w:val="24"/>
        </w:rPr>
        <w:t>, or your client</w:t>
      </w:r>
      <w:r w:rsidRPr="00CA2C15">
        <w:rPr>
          <w:rFonts w:ascii="Calibri" w:eastAsia="Arial" w:hAnsi="Calibri" w:cs="Calibri"/>
          <w:color w:val="000000"/>
          <w:sz w:val="24"/>
          <w:szCs w:val="24"/>
        </w:rPr>
        <w:t xml:space="preserve"> will not be covered by legal aid (and so the claimant will not have the de facto costs protection afforded by legal aid). Legal aid is considered </w:t>
      </w:r>
      <w:r w:rsidR="00BD2D31" w:rsidRPr="00CA2C15">
        <w:rPr>
          <w:rFonts w:ascii="Calibri" w:eastAsia="Arial" w:hAnsi="Calibri" w:cs="Calibri"/>
          <w:color w:val="000000"/>
          <w:sz w:val="24"/>
          <w:szCs w:val="24"/>
        </w:rPr>
        <w:t>in session</w:t>
      </w:r>
      <w:r w:rsidR="007078C7" w:rsidRPr="00CA2C15">
        <w:rPr>
          <w:rFonts w:ascii="Calibri" w:eastAsia="Arial" w:hAnsi="Calibri" w:cs="Calibri"/>
          <w:color w:val="000000"/>
          <w:sz w:val="24"/>
          <w:szCs w:val="24"/>
        </w:rPr>
        <w:t xml:space="preserve"> 4</w:t>
      </w:r>
      <w:r w:rsidRPr="00CA2C15">
        <w:rPr>
          <w:rFonts w:ascii="Calibri" w:eastAsia="Arial" w:hAnsi="Calibri" w:cs="Calibri"/>
          <w:color w:val="000000"/>
          <w:sz w:val="24"/>
          <w:szCs w:val="24"/>
        </w:rPr>
        <w:t>.</w:t>
      </w:r>
    </w:p>
    <w:p w14:paraId="69BBF0A5" w14:textId="594FA323" w:rsidR="006F645A" w:rsidRPr="00CA2C15" w:rsidRDefault="00B935ED" w:rsidP="00162763">
      <w:pPr>
        <w:numPr>
          <w:ilvl w:val="0"/>
          <w:numId w:val="41"/>
        </w:numPr>
        <w:spacing w:after="240" w:line="360" w:lineRule="auto"/>
        <w:jc w:val="both"/>
        <w:rPr>
          <w:rFonts w:ascii="Calibri" w:eastAsia="Arial" w:hAnsi="Calibri" w:cs="Calibri"/>
          <w:color w:val="000000"/>
          <w:sz w:val="24"/>
          <w:szCs w:val="24"/>
        </w:rPr>
      </w:pPr>
      <w:r w:rsidRPr="00CA2C15">
        <w:rPr>
          <w:rFonts w:ascii="Calibri" w:eastAsia="Times New Roman" w:hAnsi="Calibri" w:cs="Calibri"/>
          <w:sz w:val="24"/>
          <w:szCs w:val="20"/>
          <w:lang w:val="en-GB"/>
        </w:rPr>
        <w:t>Permission</w:t>
      </w:r>
      <w:r w:rsidRPr="00CA2C15">
        <w:rPr>
          <w:rFonts w:ascii="Calibri" w:eastAsia="Arial" w:hAnsi="Calibri" w:cs="Calibri"/>
          <w:color w:val="000000"/>
          <w:sz w:val="24"/>
          <w:szCs w:val="24"/>
        </w:rPr>
        <w:t xml:space="preserve"> is refused and the claim certified as totally without merit – in this </w:t>
      </w:r>
      <w:r w:rsidRPr="00CA2C15">
        <w:rPr>
          <w:rFonts w:ascii="Calibri" w:eastAsia="Times New Roman" w:hAnsi="Calibri" w:cs="Calibri"/>
          <w:sz w:val="24"/>
          <w:szCs w:val="20"/>
          <w:lang w:val="en-GB"/>
        </w:rPr>
        <w:t>situation</w:t>
      </w:r>
      <w:r w:rsidRPr="00CA2C15">
        <w:rPr>
          <w:rFonts w:ascii="Calibri" w:eastAsia="Arial" w:hAnsi="Calibri" w:cs="Calibri"/>
          <w:color w:val="000000"/>
          <w:sz w:val="24"/>
          <w:szCs w:val="24"/>
        </w:rPr>
        <w:t xml:space="preserve">, the </w:t>
      </w:r>
      <w:r w:rsidRPr="00CA2C15">
        <w:rPr>
          <w:rFonts w:ascii="Calibri" w:eastAsia="Times New Roman" w:hAnsi="Calibri" w:cs="Calibri"/>
          <w:sz w:val="24"/>
          <w:szCs w:val="20"/>
          <w:lang w:val="en-GB"/>
        </w:rPr>
        <w:t>claimant</w:t>
      </w:r>
      <w:r w:rsidRPr="00CA2C15">
        <w:rPr>
          <w:rFonts w:ascii="Calibri" w:eastAsia="Arial" w:hAnsi="Calibri" w:cs="Calibri"/>
          <w:color w:val="000000"/>
          <w:sz w:val="24"/>
          <w:szCs w:val="24"/>
        </w:rPr>
        <w:t xml:space="preserve"> cannot renew the permission application orally, although there is a right of appeal on the papers to the Court of Appeal.</w:t>
      </w:r>
    </w:p>
    <w:p w14:paraId="6A1C32CA" w14:textId="21F95CD2" w:rsidR="006F645A" w:rsidRPr="00CA2C15" w:rsidRDefault="00B935ED" w:rsidP="00162763">
      <w:pPr>
        <w:numPr>
          <w:ilvl w:val="0"/>
          <w:numId w:val="41"/>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permission application is adjourned to an oral hearing – in this situation, the court will invite the defendant and any interested parties to make submissions on the question of permission at an oral hearing. Where the </w:t>
      </w:r>
      <w:r w:rsidRPr="00CA2C15">
        <w:rPr>
          <w:rFonts w:ascii="Calibri" w:eastAsia="Times New Roman" w:hAnsi="Calibri" w:cs="Calibri"/>
          <w:sz w:val="24"/>
          <w:szCs w:val="20"/>
          <w:lang w:val="en-GB"/>
        </w:rPr>
        <w:t>claimant</w:t>
      </w:r>
      <w:r w:rsidRPr="00CA2C15">
        <w:rPr>
          <w:rFonts w:ascii="Calibri" w:eastAsia="Arial" w:hAnsi="Calibri" w:cs="Calibri"/>
          <w:color w:val="000000"/>
          <w:sz w:val="24"/>
          <w:szCs w:val="24"/>
        </w:rPr>
        <w:t xml:space="preserve"> is legally aided, it will generally be easier to persuade the Legal Aid Agency to extend legal aid to cover the oral permission hearing where an oral hearing is directed by the court, than where permission is refused on the papers.</w:t>
      </w:r>
    </w:p>
    <w:p w14:paraId="2DEF678F" w14:textId="77777777" w:rsidR="006F645A" w:rsidRPr="00CA2C15" w:rsidRDefault="00B935ED" w:rsidP="00162763">
      <w:pPr>
        <w:numPr>
          <w:ilvl w:val="0"/>
          <w:numId w:val="41"/>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case is adjourned to a rolled up permission/substantive hearing (so </w:t>
      </w:r>
      <w:r w:rsidRPr="00CA2C15">
        <w:rPr>
          <w:rFonts w:ascii="Calibri" w:eastAsia="Times New Roman" w:hAnsi="Calibri" w:cs="Calibri"/>
          <w:sz w:val="24"/>
          <w:szCs w:val="20"/>
          <w:lang w:val="en-GB"/>
        </w:rPr>
        <w:t>that</w:t>
      </w:r>
      <w:r w:rsidRPr="00CA2C15">
        <w:rPr>
          <w:rFonts w:ascii="Calibri" w:eastAsia="Arial" w:hAnsi="Calibri" w:cs="Calibri"/>
          <w:color w:val="000000"/>
          <w:sz w:val="24"/>
          <w:szCs w:val="24"/>
        </w:rPr>
        <w:t xml:space="preserve"> the substantive hearing takes place - if permission is granted – on the same </w:t>
      </w:r>
      <w:r w:rsidRPr="00CA2C15">
        <w:rPr>
          <w:rFonts w:ascii="Calibri" w:eastAsia="Times New Roman" w:hAnsi="Calibri" w:cs="Calibri"/>
          <w:sz w:val="24"/>
          <w:szCs w:val="20"/>
          <w:lang w:val="en-GB"/>
        </w:rPr>
        <w:t>occasion</w:t>
      </w:r>
      <w:r w:rsidRPr="00CA2C15">
        <w:rPr>
          <w:rFonts w:ascii="Calibri" w:eastAsia="Arial" w:hAnsi="Calibri" w:cs="Calibri"/>
          <w:color w:val="000000"/>
          <w:sz w:val="24"/>
          <w:szCs w:val="24"/>
        </w:rPr>
        <w:t xml:space="preserve"> as the </w:t>
      </w:r>
      <w:r w:rsidRPr="00CA2C15">
        <w:rPr>
          <w:rFonts w:ascii="Calibri" w:eastAsia="Times New Roman" w:hAnsi="Calibri" w:cs="Calibri"/>
          <w:sz w:val="24"/>
          <w:szCs w:val="20"/>
          <w:lang w:val="en-GB"/>
        </w:rPr>
        <w:t>permission</w:t>
      </w:r>
      <w:r w:rsidRPr="00CA2C15">
        <w:rPr>
          <w:rFonts w:ascii="Calibri" w:eastAsia="Arial" w:hAnsi="Calibri" w:cs="Calibri"/>
          <w:color w:val="000000"/>
          <w:sz w:val="24"/>
          <w:szCs w:val="24"/>
        </w:rPr>
        <w:t xml:space="preserve"> application). The court may make an order of this sort where it recognises that the case is urgent but does not consider itself able to grant permission on the papers.</w:t>
      </w:r>
    </w:p>
    <w:p w14:paraId="1728351F" w14:textId="48400337" w:rsidR="006F645A" w:rsidRPr="00CA2C15" w:rsidRDefault="00B935ED" w:rsidP="00162763">
      <w:pPr>
        <w:numPr>
          <w:ilvl w:val="0"/>
          <w:numId w:val="41"/>
        </w:numPr>
        <w:spacing w:after="240" w:line="360" w:lineRule="auto"/>
        <w:jc w:val="both"/>
        <w:rPr>
          <w:rFonts w:ascii="Calibri" w:eastAsia="Arial" w:hAnsi="Calibri" w:cs="Calibri"/>
          <w:color w:val="000000"/>
          <w:sz w:val="24"/>
          <w:szCs w:val="24"/>
        </w:rPr>
      </w:pPr>
      <w:r w:rsidRPr="00CA2C15">
        <w:rPr>
          <w:rFonts w:ascii="Calibri" w:eastAsia="Times New Roman" w:hAnsi="Calibri" w:cs="Calibri"/>
          <w:sz w:val="24"/>
          <w:szCs w:val="20"/>
          <w:lang w:val="en-GB"/>
        </w:rPr>
        <w:t>Permission</w:t>
      </w:r>
      <w:r w:rsidRPr="00CA2C15">
        <w:rPr>
          <w:rFonts w:ascii="Calibri" w:eastAsia="Arial" w:hAnsi="Calibri" w:cs="Calibri"/>
          <w:color w:val="000000"/>
          <w:spacing w:val="-2"/>
          <w:sz w:val="24"/>
          <w:szCs w:val="24"/>
        </w:rPr>
        <w:t xml:space="preserve"> is granted (on one or more grounds). In this situation, the claim will proceed to a substantive hearing on payment by the claimant of a further</w:t>
      </w:r>
      <w:r w:rsidR="006F645A" w:rsidRPr="00CA2C15">
        <w:rPr>
          <w:rFonts w:ascii="Calibri" w:eastAsia="Arial" w:hAnsi="Calibri" w:cs="Calibri"/>
          <w:color w:val="000000"/>
          <w:spacing w:val="-2"/>
          <w:sz w:val="24"/>
          <w:szCs w:val="24"/>
        </w:rPr>
        <w:t xml:space="preserve"> </w:t>
      </w:r>
      <w:r w:rsidRPr="00CA2C15">
        <w:rPr>
          <w:rFonts w:ascii="Calibri" w:eastAsia="Arial" w:hAnsi="Calibri" w:cs="Calibri"/>
          <w:color w:val="000000"/>
          <w:spacing w:val="-2"/>
          <w:sz w:val="24"/>
          <w:szCs w:val="24"/>
        </w:rPr>
        <w:t>court fee.</w:t>
      </w:r>
    </w:p>
    <w:p w14:paraId="2724A55B" w14:textId="670BA6D2" w:rsidR="00117783" w:rsidRPr="00CA2C15" w:rsidRDefault="00B663ED" w:rsidP="00162763">
      <w:pPr>
        <w:numPr>
          <w:ilvl w:val="0"/>
          <w:numId w:val="41"/>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pacing w:val="-2"/>
          <w:sz w:val="24"/>
          <w:szCs w:val="24"/>
        </w:rPr>
        <w:t xml:space="preserve">It is </w:t>
      </w:r>
      <w:r w:rsidRPr="00CA2C15">
        <w:rPr>
          <w:rFonts w:ascii="Calibri" w:eastAsia="Times New Roman" w:hAnsi="Calibri" w:cs="Calibri"/>
          <w:sz w:val="24"/>
          <w:szCs w:val="20"/>
          <w:lang w:val="en-GB"/>
        </w:rPr>
        <w:t>possible</w:t>
      </w:r>
      <w:r w:rsidRPr="00CA2C15">
        <w:rPr>
          <w:rFonts w:ascii="Calibri" w:eastAsia="Arial" w:hAnsi="Calibri" w:cs="Calibri"/>
          <w:color w:val="000000"/>
          <w:spacing w:val="-2"/>
          <w:sz w:val="24"/>
          <w:szCs w:val="24"/>
        </w:rPr>
        <w:t xml:space="preserve"> for a Defendant to concede in its A</w:t>
      </w:r>
      <w:r w:rsidR="007549CC" w:rsidRPr="00CA2C15">
        <w:rPr>
          <w:rFonts w:ascii="Calibri" w:eastAsia="Arial" w:hAnsi="Calibri" w:cs="Calibri"/>
          <w:color w:val="000000"/>
          <w:spacing w:val="-2"/>
          <w:sz w:val="24"/>
          <w:szCs w:val="24"/>
        </w:rPr>
        <w:t xml:space="preserve">oS </w:t>
      </w:r>
      <w:r w:rsidRPr="00CA2C15">
        <w:rPr>
          <w:rFonts w:ascii="Calibri" w:eastAsia="Times New Roman" w:hAnsi="Calibri" w:cs="Calibri"/>
          <w:sz w:val="24"/>
          <w:szCs w:val="20"/>
          <w:lang w:val="en-GB"/>
        </w:rPr>
        <w:t>that</w:t>
      </w:r>
      <w:r w:rsidRPr="00CA2C15">
        <w:rPr>
          <w:rFonts w:ascii="Calibri" w:eastAsia="Arial" w:hAnsi="Calibri" w:cs="Calibri"/>
          <w:color w:val="000000"/>
          <w:spacing w:val="-2"/>
          <w:sz w:val="24"/>
          <w:szCs w:val="24"/>
        </w:rPr>
        <w:t xml:space="preserve"> permission should be granted, while still defending the substantive claim.</w:t>
      </w:r>
    </w:p>
    <w:p w14:paraId="4ED036CD" w14:textId="6E53F333" w:rsidR="00117783" w:rsidRPr="00CA2C15" w:rsidRDefault="00117783" w:rsidP="008355D0">
      <w:pPr>
        <w:numPr>
          <w:ilvl w:val="0"/>
          <w:numId w:val="4"/>
        </w:numPr>
        <w:tabs>
          <w:tab w:val="num" w:pos="1430"/>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At an oral permission hearing, the court can grant or refuse permission. If permission is granted, the case will </w:t>
      </w:r>
      <w:r w:rsidRPr="00CA2C15">
        <w:rPr>
          <w:rFonts w:ascii="Calibri" w:eastAsia="Arial" w:hAnsi="Calibri" w:cs="Calibri"/>
          <w:color w:val="000000"/>
          <w:sz w:val="24"/>
          <w:szCs w:val="24"/>
        </w:rPr>
        <w:t>proceed</w:t>
      </w:r>
      <w:r w:rsidRPr="00CA2C15">
        <w:rPr>
          <w:rFonts w:ascii="Calibri" w:eastAsia="Arial" w:hAnsi="Calibri" w:cs="Calibri"/>
          <w:color w:val="000000"/>
          <w:spacing w:val="-2"/>
          <w:sz w:val="24"/>
          <w:szCs w:val="24"/>
        </w:rPr>
        <w:t xml:space="preserve"> to a substantive hearing, as if </w:t>
      </w:r>
      <w:r w:rsidRPr="00CA2C15">
        <w:rPr>
          <w:rFonts w:ascii="Calibri" w:eastAsia="Arial" w:hAnsi="Calibri" w:cs="Calibri"/>
          <w:iCs/>
          <w:color w:val="000000"/>
          <w:sz w:val="24"/>
          <w:szCs w:val="24"/>
        </w:rPr>
        <w:t>permission</w:t>
      </w:r>
      <w:r w:rsidRPr="00CA2C15">
        <w:rPr>
          <w:rFonts w:ascii="Calibri" w:eastAsia="Arial" w:hAnsi="Calibri" w:cs="Calibri"/>
          <w:color w:val="000000"/>
          <w:spacing w:val="-2"/>
          <w:sz w:val="24"/>
          <w:szCs w:val="24"/>
        </w:rPr>
        <w:t xml:space="preserve"> </w:t>
      </w:r>
      <w:r w:rsidRPr="00CA2C15">
        <w:rPr>
          <w:rFonts w:ascii="Calibri" w:eastAsia="Times New Roman" w:hAnsi="Calibri" w:cs="Calibri"/>
          <w:sz w:val="24"/>
          <w:szCs w:val="20"/>
          <w:lang w:val="en-GB"/>
        </w:rPr>
        <w:t>had</w:t>
      </w:r>
      <w:r w:rsidRPr="00CA2C15">
        <w:rPr>
          <w:rFonts w:ascii="Calibri" w:eastAsia="Arial" w:hAnsi="Calibri" w:cs="Calibri"/>
          <w:color w:val="000000"/>
          <w:spacing w:val="-2"/>
          <w:sz w:val="24"/>
          <w:szCs w:val="24"/>
        </w:rPr>
        <w:t xml:space="preserve"> been granted on the papers. If permission is refused, the claimant </w:t>
      </w:r>
      <w:r w:rsidRPr="00CA2C15">
        <w:rPr>
          <w:rFonts w:ascii="Calibri" w:eastAsia="Arial" w:hAnsi="Calibri" w:cs="Calibri"/>
          <w:color w:val="000000"/>
          <w:sz w:val="24"/>
          <w:szCs w:val="24"/>
        </w:rPr>
        <w:t>can</w:t>
      </w:r>
      <w:r w:rsidRPr="00CA2C15">
        <w:rPr>
          <w:rFonts w:ascii="Calibri" w:eastAsia="Arial" w:hAnsi="Calibri" w:cs="Calibri"/>
          <w:color w:val="000000"/>
          <w:spacing w:val="-2"/>
          <w:sz w:val="24"/>
          <w:szCs w:val="24"/>
        </w:rPr>
        <w:t xml:space="preserve"> appeal against the refusal of permission to the Court of Appeal.</w:t>
      </w:r>
    </w:p>
    <w:p w14:paraId="073B1899" w14:textId="6AC022C3" w:rsidR="006E6128" w:rsidRPr="00CA2C15" w:rsidRDefault="00B935ED" w:rsidP="006E6128">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the </w:t>
      </w:r>
      <w:r w:rsidRPr="00CA2C15">
        <w:rPr>
          <w:rFonts w:ascii="Calibri" w:eastAsia="Arial" w:hAnsi="Calibri" w:cs="Calibri"/>
          <w:iCs/>
          <w:color w:val="000000"/>
          <w:sz w:val="24"/>
          <w:szCs w:val="24"/>
        </w:rPr>
        <w:t xml:space="preserve">Administrative </w:t>
      </w:r>
      <w:r w:rsidRPr="00CA2C15">
        <w:rPr>
          <w:rFonts w:ascii="Calibri" w:eastAsia="Arial" w:hAnsi="Calibri" w:cs="Calibri"/>
          <w:color w:val="000000"/>
          <w:sz w:val="24"/>
          <w:szCs w:val="24"/>
        </w:rPr>
        <w:t xml:space="preserve">Court the default position is that hearings will be in-person, but if a party </w:t>
      </w:r>
      <w:r w:rsidRPr="00CA2C15">
        <w:rPr>
          <w:rFonts w:ascii="Calibri" w:eastAsia="Times New Roman" w:hAnsi="Calibri" w:cs="Calibri"/>
          <w:sz w:val="24"/>
          <w:szCs w:val="20"/>
          <w:lang w:val="en-GB"/>
        </w:rPr>
        <w:t>requires</w:t>
      </w:r>
      <w:r w:rsidRPr="00CA2C15">
        <w:rPr>
          <w:rFonts w:ascii="Calibri" w:eastAsia="Arial" w:hAnsi="Calibri" w:cs="Calibri"/>
          <w:color w:val="000000"/>
          <w:sz w:val="24"/>
          <w:szCs w:val="24"/>
        </w:rPr>
        <w:t xml:space="preserve"> a remote or hybrid hearing, then an application will need to be made to the court.</w:t>
      </w:r>
    </w:p>
    <w:p w14:paraId="53368021" w14:textId="77777777" w:rsidR="00853003" w:rsidRPr="00CA2C15" w:rsidRDefault="00853003" w:rsidP="00853003">
      <w:pPr>
        <w:spacing w:after="240" w:line="360" w:lineRule="auto"/>
        <w:jc w:val="both"/>
        <w:rPr>
          <w:rFonts w:ascii="Calibri" w:eastAsia="Arial" w:hAnsi="Calibri" w:cs="Calibri"/>
          <w:color w:val="000000"/>
          <w:sz w:val="24"/>
          <w:szCs w:val="24"/>
        </w:rPr>
      </w:pPr>
    </w:p>
    <w:p w14:paraId="2A62AF69" w14:textId="77777777" w:rsidR="00853003" w:rsidRPr="00CA2C15" w:rsidRDefault="00853003" w:rsidP="00853003">
      <w:pPr>
        <w:spacing w:after="240" w:line="360" w:lineRule="auto"/>
        <w:jc w:val="both"/>
        <w:rPr>
          <w:rFonts w:ascii="Calibri" w:eastAsia="Arial" w:hAnsi="Calibri" w:cs="Calibri"/>
          <w:color w:val="000000"/>
          <w:sz w:val="24"/>
          <w:szCs w:val="24"/>
        </w:rPr>
      </w:pPr>
    </w:p>
    <w:p w14:paraId="116C0AFA" w14:textId="289B3F0E" w:rsidR="00117783" w:rsidRPr="00CA2C15" w:rsidRDefault="00B935ED" w:rsidP="008920CA">
      <w:pPr>
        <w:spacing w:after="240" w:line="360" w:lineRule="auto"/>
        <w:ind w:left="144" w:firstLine="576"/>
        <w:jc w:val="both"/>
        <w:textAlignment w:val="baseline"/>
        <w:rPr>
          <w:rFonts w:ascii="Calibri" w:eastAsia="Arial" w:hAnsi="Calibri" w:cs="Calibri"/>
          <w:b/>
          <w:color w:val="000000"/>
          <w:sz w:val="24"/>
          <w:szCs w:val="24"/>
        </w:rPr>
      </w:pPr>
      <w:r w:rsidRPr="00CA2C15">
        <w:rPr>
          <w:rFonts w:ascii="Calibri" w:eastAsia="Arial" w:hAnsi="Calibri" w:cs="Calibri"/>
          <w:b/>
          <w:color w:val="000000"/>
          <w:sz w:val="24"/>
          <w:szCs w:val="24"/>
        </w:rPr>
        <w:t>Information about financial resources</w:t>
      </w:r>
    </w:p>
    <w:p w14:paraId="69E1F100" w14:textId="77777777" w:rsidR="008920CA" w:rsidRPr="00CA2C15" w:rsidRDefault="00B935ED" w:rsidP="001B4EBC">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If sections 85 and 86 of the C</w:t>
      </w:r>
      <w:r w:rsidR="007E0BF9" w:rsidRPr="00CA2C15">
        <w:rPr>
          <w:rFonts w:ascii="Calibri" w:eastAsia="Arial" w:hAnsi="Calibri" w:cs="Calibri"/>
          <w:color w:val="000000"/>
          <w:sz w:val="24"/>
          <w:szCs w:val="24"/>
        </w:rPr>
        <w:t xml:space="preserve">riminal </w:t>
      </w:r>
      <w:r w:rsidRPr="00CA2C15">
        <w:rPr>
          <w:rFonts w:ascii="Calibri" w:eastAsia="Arial" w:hAnsi="Calibri" w:cs="Calibri"/>
          <w:color w:val="000000"/>
          <w:sz w:val="24"/>
          <w:szCs w:val="24"/>
        </w:rPr>
        <w:t>J</w:t>
      </w:r>
      <w:r w:rsidR="007E0BF9" w:rsidRPr="00CA2C15">
        <w:rPr>
          <w:rFonts w:ascii="Calibri" w:eastAsia="Arial" w:hAnsi="Calibri" w:cs="Calibri"/>
          <w:color w:val="000000"/>
          <w:sz w:val="24"/>
          <w:szCs w:val="24"/>
        </w:rPr>
        <w:t xml:space="preserve">ustice and </w:t>
      </w:r>
      <w:r w:rsidRPr="00CA2C15">
        <w:rPr>
          <w:rFonts w:ascii="Calibri" w:eastAsia="Arial" w:hAnsi="Calibri" w:cs="Calibri"/>
          <w:color w:val="000000"/>
          <w:sz w:val="24"/>
          <w:szCs w:val="24"/>
        </w:rPr>
        <w:t>C</w:t>
      </w:r>
      <w:r w:rsidR="007E0BF9" w:rsidRPr="00CA2C15">
        <w:rPr>
          <w:rFonts w:ascii="Calibri" w:eastAsia="Arial" w:hAnsi="Calibri" w:cs="Calibri"/>
          <w:color w:val="000000"/>
          <w:sz w:val="24"/>
          <w:szCs w:val="24"/>
        </w:rPr>
        <w:t xml:space="preserve">ourts </w:t>
      </w:r>
      <w:r w:rsidRPr="00CA2C15">
        <w:rPr>
          <w:rFonts w:ascii="Calibri" w:eastAsia="Arial" w:hAnsi="Calibri" w:cs="Calibri"/>
          <w:color w:val="000000"/>
          <w:sz w:val="24"/>
          <w:szCs w:val="24"/>
        </w:rPr>
        <w:t>A</w:t>
      </w:r>
      <w:r w:rsidR="007E0BF9" w:rsidRPr="00CA2C15">
        <w:rPr>
          <w:rFonts w:ascii="Calibri" w:eastAsia="Arial" w:hAnsi="Calibri" w:cs="Calibri"/>
          <w:color w:val="000000"/>
          <w:sz w:val="24"/>
          <w:szCs w:val="24"/>
        </w:rPr>
        <w:t>ct</w:t>
      </w:r>
      <w:r w:rsidRPr="00CA2C15">
        <w:rPr>
          <w:rFonts w:ascii="Calibri" w:eastAsia="Arial" w:hAnsi="Calibri" w:cs="Calibri"/>
          <w:color w:val="000000"/>
          <w:sz w:val="24"/>
          <w:szCs w:val="24"/>
        </w:rPr>
        <w:t xml:space="preserve"> 2015 come into force, </w:t>
      </w:r>
      <w:r w:rsidRPr="00CA2C15">
        <w:rPr>
          <w:rFonts w:ascii="Calibri" w:eastAsia="Times New Roman" w:hAnsi="Calibri" w:cs="Calibri"/>
          <w:sz w:val="24"/>
          <w:szCs w:val="20"/>
          <w:lang w:val="en-GB"/>
        </w:rPr>
        <w:t>section</w:t>
      </w:r>
      <w:r w:rsidRPr="00CA2C15">
        <w:rPr>
          <w:rFonts w:ascii="Calibri" w:eastAsia="Arial" w:hAnsi="Calibri" w:cs="Calibri"/>
          <w:color w:val="000000"/>
          <w:sz w:val="24"/>
          <w:szCs w:val="24"/>
        </w:rPr>
        <w:t xml:space="preserve"> 31(3) of the Senior Courts Act 1981 will be amended as follows (see underlined section):</w:t>
      </w:r>
    </w:p>
    <w:p w14:paraId="0E03CC70" w14:textId="7B82F445" w:rsidR="00B935ED" w:rsidRPr="00CA2C15" w:rsidRDefault="00B935ED" w:rsidP="001B4EBC">
      <w:pPr>
        <w:tabs>
          <w:tab w:val="num" w:pos="717"/>
        </w:tabs>
        <w:spacing w:after="240" w:line="360" w:lineRule="auto"/>
        <w:ind w:left="1440"/>
        <w:jc w:val="both"/>
        <w:rPr>
          <w:rFonts w:ascii="Calibri" w:eastAsia="Arial" w:hAnsi="Calibri" w:cs="Calibri"/>
          <w:color w:val="000000"/>
        </w:rPr>
      </w:pPr>
      <w:r w:rsidRPr="00CA2C15">
        <w:rPr>
          <w:rFonts w:ascii="Calibri" w:eastAsia="Arial" w:hAnsi="Calibri" w:cs="Calibri"/>
          <w:i/>
          <w:color w:val="000000"/>
        </w:rPr>
        <w:t xml:space="preserve">No application for judicial review shall be made unless the leave of the High Court has been obtained in accordance with rules of court’ and the court shall not grant </w:t>
      </w:r>
      <w:r w:rsidRPr="00CA2C15">
        <w:rPr>
          <w:rFonts w:ascii="Calibri" w:eastAsia="Times New Roman" w:hAnsi="Calibri" w:cs="Calibri"/>
          <w:szCs w:val="18"/>
          <w:lang w:val="en-GB"/>
        </w:rPr>
        <w:t>leave</w:t>
      </w:r>
      <w:r w:rsidRPr="00CA2C15">
        <w:rPr>
          <w:rFonts w:ascii="Calibri" w:eastAsia="Arial" w:hAnsi="Calibri" w:cs="Calibri"/>
          <w:i/>
          <w:color w:val="000000"/>
        </w:rPr>
        <w:t xml:space="preserve"> to make such an application unless it considers that the applicant has a sufficient interest in the matter to which the application relates</w:t>
      </w:r>
      <w:r w:rsidRPr="00CA2C15">
        <w:rPr>
          <w:rFonts w:ascii="Calibri" w:eastAsia="Arial" w:hAnsi="Calibri" w:cs="Calibri"/>
          <w:i/>
          <w:color w:val="000000"/>
          <w:u w:val="single"/>
        </w:rPr>
        <w:t>, and the applicant has provided the court with any information about the financing of the application that is specified in rules of court for the purposes of this paragraph.</w:t>
      </w:r>
    </w:p>
    <w:p w14:paraId="42C698FD" w14:textId="77777777" w:rsidR="00B935ED" w:rsidRPr="00CA2C15" w:rsidRDefault="00B935ED" w:rsidP="00DF0F47">
      <w:pPr>
        <w:spacing w:after="240" w:line="360" w:lineRule="auto"/>
        <w:ind w:left="216" w:firstLine="504"/>
        <w:jc w:val="both"/>
        <w:textAlignment w:val="baseline"/>
        <w:rPr>
          <w:rFonts w:ascii="Calibri" w:eastAsia="Arial" w:hAnsi="Calibri" w:cs="Calibri"/>
          <w:b/>
          <w:color w:val="000000"/>
          <w:sz w:val="24"/>
          <w:szCs w:val="24"/>
          <w:u w:val="single"/>
        </w:rPr>
      </w:pPr>
      <w:r w:rsidRPr="00CA2C15">
        <w:rPr>
          <w:rFonts w:ascii="Calibri" w:eastAsia="Arial" w:hAnsi="Calibri" w:cs="Calibri"/>
          <w:b/>
          <w:color w:val="000000"/>
          <w:sz w:val="24"/>
          <w:szCs w:val="24"/>
          <w:u w:val="single"/>
        </w:rPr>
        <w:t>Part 2: PERMISSION TO THE FINAL HEARING</w:t>
      </w:r>
    </w:p>
    <w:p w14:paraId="57E7F382" w14:textId="1F8699DD" w:rsidR="00B935ED" w:rsidRPr="00CA2C15" w:rsidRDefault="00B935ED" w:rsidP="004F45AD">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There are certain routine steps which should take place following the grant of </w:t>
      </w:r>
      <w:r w:rsidRPr="00CA2C15">
        <w:rPr>
          <w:rFonts w:ascii="Calibri" w:eastAsia="Times New Roman" w:hAnsi="Calibri" w:cs="Calibri"/>
          <w:sz w:val="24"/>
          <w:szCs w:val="20"/>
          <w:lang w:val="en-GB"/>
        </w:rPr>
        <w:t>permission</w:t>
      </w:r>
      <w:r w:rsidRPr="00CA2C15">
        <w:rPr>
          <w:rFonts w:ascii="Calibri" w:eastAsia="Arial" w:hAnsi="Calibri" w:cs="Calibri"/>
          <w:color w:val="000000"/>
          <w:sz w:val="24"/>
          <w:szCs w:val="24"/>
        </w:rPr>
        <w:t xml:space="preserve"> in all judicial reviews: the filing of Detailed Grounds of </w:t>
      </w:r>
      <w:r w:rsidR="00457F2D" w:rsidRPr="00CA2C15">
        <w:rPr>
          <w:rFonts w:ascii="Calibri" w:eastAsia="Arial" w:hAnsi="Calibri" w:cs="Calibri"/>
          <w:color w:val="000000"/>
          <w:sz w:val="24"/>
          <w:szCs w:val="24"/>
        </w:rPr>
        <w:t xml:space="preserve">Defence </w:t>
      </w:r>
      <w:r w:rsidRPr="00CA2C15">
        <w:rPr>
          <w:rFonts w:ascii="Calibri" w:eastAsia="Arial" w:hAnsi="Calibri" w:cs="Calibri"/>
          <w:color w:val="000000"/>
          <w:sz w:val="24"/>
          <w:szCs w:val="24"/>
        </w:rPr>
        <w:t xml:space="preserve">(unless the </w:t>
      </w:r>
      <w:r w:rsidR="004F45AD"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wishes to rely only on its Summary Grounds, which it may do pursuant to PD54A para </w:t>
      </w:r>
      <w:r w:rsidR="00DE3984" w:rsidRPr="00CA2C15">
        <w:rPr>
          <w:rFonts w:ascii="Calibri" w:eastAsia="Arial" w:hAnsi="Calibri" w:cs="Calibri"/>
          <w:color w:val="000000"/>
          <w:sz w:val="24"/>
          <w:szCs w:val="24"/>
        </w:rPr>
        <w:t>10</w:t>
      </w:r>
      <w:r w:rsidRPr="00CA2C15">
        <w:rPr>
          <w:rFonts w:ascii="Calibri" w:eastAsia="Arial" w:hAnsi="Calibri" w:cs="Calibri"/>
          <w:color w:val="000000"/>
          <w:sz w:val="24"/>
          <w:szCs w:val="24"/>
        </w:rPr>
        <w:t xml:space="preserve">.1) and any supporting evidence by the </w:t>
      </w:r>
      <w:r w:rsidR="004F45AD"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a listing date being secured; exchange of </w:t>
      </w:r>
      <w:r w:rsidR="004F45AD" w:rsidRPr="00CA2C15">
        <w:rPr>
          <w:rFonts w:ascii="Calibri" w:eastAsia="Arial" w:hAnsi="Calibri" w:cs="Calibri"/>
          <w:color w:val="000000"/>
          <w:sz w:val="24"/>
          <w:szCs w:val="24"/>
        </w:rPr>
        <w:t>s</w:t>
      </w:r>
      <w:r w:rsidRPr="00CA2C15">
        <w:rPr>
          <w:rFonts w:ascii="Calibri" w:eastAsia="Arial" w:hAnsi="Calibri" w:cs="Calibri"/>
          <w:color w:val="000000"/>
          <w:sz w:val="24"/>
          <w:szCs w:val="24"/>
        </w:rPr>
        <w:t xml:space="preserve">keleton </w:t>
      </w:r>
      <w:r w:rsidR="004F45AD" w:rsidRPr="00CA2C15">
        <w:rPr>
          <w:rFonts w:ascii="Calibri" w:eastAsia="Arial" w:hAnsi="Calibri" w:cs="Calibri"/>
          <w:color w:val="000000"/>
          <w:sz w:val="24"/>
          <w:szCs w:val="24"/>
        </w:rPr>
        <w:t>a</w:t>
      </w:r>
      <w:r w:rsidRPr="00CA2C15">
        <w:rPr>
          <w:rFonts w:ascii="Calibri" w:eastAsia="Arial" w:hAnsi="Calibri" w:cs="Calibri"/>
          <w:color w:val="000000"/>
          <w:sz w:val="24"/>
          <w:szCs w:val="24"/>
        </w:rPr>
        <w:t xml:space="preserve">rguments; </w:t>
      </w:r>
      <w:r w:rsidR="00B03D80" w:rsidRPr="00CA2C15">
        <w:rPr>
          <w:rFonts w:ascii="Calibri" w:eastAsia="Arial" w:hAnsi="Calibri" w:cs="Calibri"/>
          <w:color w:val="000000"/>
          <w:sz w:val="24"/>
          <w:szCs w:val="24"/>
        </w:rPr>
        <w:t xml:space="preserve">and </w:t>
      </w:r>
      <w:r w:rsidRPr="00CA2C15">
        <w:rPr>
          <w:rFonts w:ascii="Calibri" w:eastAsia="Arial" w:hAnsi="Calibri" w:cs="Calibri"/>
          <w:color w:val="000000"/>
          <w:sz w:val="24"/>
          <w:szCs w:val="24"/>
        </w:rPr>
        <w:t>the hearing itself.</w:t>
      </w:r>
    </w:p>
    <w:p w14:paraId="787594A5" w14:textId="09C97AEC" w:rsidR="00B935ED" w:rsidRPr="00CA2C15" w:rsidRDefault="00B935ED" w:rsidP="004F45AD">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There are, however, many variations on that theme, depending upon matters such as the </w:t>
      </w:r>
      <w:r w:rsidRPr="00CA2C15">
        <w:rPr>
          <w:rFonts w:ascii="Calibri" w:eastAsia="Arial" w:hAnsi="Calibri" w:cs="Calibri"/>
          <w:iCs/>
          <w:color w:val="000000"/>
          <w:sz w:val="24"/>
          <w:szCs w:val="24"/>
        </w:rPr>
        <w:t>directions</w:t>
      </w:r>
      <w:r w:rsidRPr="00CA2C15">
        <w:rPr>
          <w:rFonts w:ascii="Calibri" w:eastAsia="Arial" w:hAnsi="Calibri" w:cs="Calibri"/>
          <w:color w:val="000000"/>
          <w:sz w:val="24"/>
          <w:szCs w:val="24"/>
        </w:rPr>
        <w:t xml:space="preserve"> made at </w:t>
      </w:r>
      <w:r w:rsidR="00FB636D" w:rsidRPr="00CA2C15">
        <w:rPr>
          <w:rFonts w:ascii="Calibri" w:eastAsia="Arial" w:hAnsi="Calibri" w:cs="Calibri"/>
          <w:color w:val="000000"/>
          <w:sz w:val="24"/>
          <w:szCs w:val="24"/>
        </w:rPr>
        <w:t xml:space="preserve">the </w:t>
      </w:r>
      <w:r w:rsidRPr="00CA2C15">
        <w:rPr>
          <w:rFonts w:ascii="Calibri" w:eastAsia="Arial" w:hAnsi="Calibri" w:cs="Calibri"/>
          <w:color w:val="000000"/>
          <w:sz w:val="24"/>
          <w:szCs w:val="24"/>
        </w:rPr>
        <w:t xml:space="preserve">permission stage, the urgency of the case, the issues, whether the </w:t>
      </w:r>
      <w:r w:rsidR="004F45AD"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wishes to file further evidence or amend </w:t>
      </w:r>
      <w:r w:rsidR="00FB636D" w:rsidRPr="00CA2C15">
        <w:rPr>
          <w:rFonts w:ascii="Calibri" w:eastAsia="Arial" w:hAnsi="Calibri" w:cs="Calibri"/>
          <w:color w:val="000000"/>
          <w:sz w:val="24"/>
          <w:szCs w:val="24"/>
        </w:rPr>
        <w:t>their</w:t>
      </w:r>
      <w:r w:rsidRPr="00CA2C15">
        <w:rPr>
          <w:rFonts w:ascii="Calibri" w:eastAsia="Arial" w:hAnsi="Calibri" w:cs="Calibri"/>
          <w:color w:val="000000"/>
          <w:sz w:val="24"/>
          <w:szCs w:val="24"/>
        </w:rPr>
        <w:t xml:space="preserve"> </w:t>
      </w:r>
      <w:r w:rsidRPr="00CA2C15">
        <w:rPr>
          <w:rFonts w:ascii="Calibri" w:eastAsia="Times New Roman" w:hAnsi="Calibri" w:cs="Calibri"/>
          <w:sz w:val="24"/>
          <w:szCs w:val="20"/>
          <w:lang w:val="en-GB"/>
        </w:rPr>
        <w:t>Grounds</w:t>
      </w:r>
      <w:r w:rsidRPr="00CA2C15">
        <w:rPr>
          <w:rFonts w:ascii="Calibri" w:eastAsia="Arial" w:hAnsi="Calibri" w:cs="Calibri"/>
          <w:color w:val="000000"/>
          <w:sz w:val="24"/>
          <w:szCs w:val="24"/>
        </w:rPr>
        <w:t>, whether interim relief is sought, and whether there are any interveners.</w:t>
      </w:r>
    </w:p>
    <w:p w14:paraId="20C7C0CC" w14:textId="77777777" w:rsidR="00ED0F5D" w:rsidRPr="00CA2C15" w:rsidRDefault="00B935ED" w:rsidP="00A45497">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z w:val="24"/>
          <w:szCs w:val="24"/>
          <w:u w:val="single"/>
        </w:rPr>
        <w:t xml:space="preserve">NEXT STEPS FOLLOWING THE GRANT OF PERMISSION  </w:t>
      </w:r>
    </w:p>
    <w:p w14:paraId="51D476A6" w14:textId="0F0DD597" w:rsidR="00B935ED" w:rsidRPr="00CA2C15" w:rsidRDefault="00B935ED" w:rsidP="00A45497">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z w:val="24"/>
          <w:szCs w:val="24"/>
        </w:rPr>
        <w:t>Listing – Securing a Date for the Hearing</w:t>
      </w:r>
    </w:p>
    <w:p w14:paraId="5ED8B01F" w14:textId="74D164AD" w:rsidR="00B935ED" w:rsidRPr="00CA2C15" w:rsidRDefault="00B935ED" w:rsidP="000568AE">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themeColor="text1"/>
          <w:sz w:val="24"/>
          <w:szCs w:val="24"/>
        </w:rPr>
        <w:t>Listing is dealt with in more detail below. However, if the claim is urgent, and the permission order recognises this, then steps should be taken very promptly after the grant of permission to ensure that a speedy listing is secured. In such cases, it is sensible for the Claimant’s solicitor to contact the Administrative Court list office (if in London –</w:t>
      </w:r>
      <w:r w:rsidR="00703680" w:rsidRPr="00CA2C15">
        <w:rPr>
          <w:rFonts w:ascii="Calibri" w:eastAsia="Arial" w:hAnsi="Calibri" w:cs="Calibri"/>
          <w:color w:val="000000" w:themeColor="text1"/>
          <w:sz w:val="24"/>
          <w:szCs w:val="24"/>
        </w:rPr>
        <w:t xml:space="preserve"> </w:t>
      </w:r>
      <w:r w:rsidR="0029139E" w:rsidRPr="00CA2C15">
        <w:rPr>
          <w:rFonts w:ascii="Calibri" w:eastAsia="Arial" w:hAnsi="Calibri" w:cs="Calibri"/>
          <w:color w:val="000000" w:themeColor="text1"/>
          <w:sz w:val="24"/>
          <w:szCs w:val="24"/>
        </w:rPr>
        <w:t>02039368957</w:t>
      </w:r>
      <w:r w:rsidRPr="00CA2C15">
        <w:rPr>
          <w:rFonts w:ascii="Calibri" w:eastAsia="Arial" w:hAnsi="Calibri" w:cs="Calibri"/>
          <w:color w:val="000000" w:themeColor="text1"/>
          <w:sz w:val="24"/>
          <w:szCs w:val="24"/>
        </w:rPr>
        <w:t xml:space="preserve">– select option </w:t>
      </w:r>
      <w:r w:rsidR="0036200E" w:rsidRPr="00CA2C15">
        <w:rPr>
          <w:rFonts w:ascii="Calibri" w:eastAsia="Arial" w:hAnsi="Calibri" w:cs="Calibri"/>
          <w:color w:val="000000" w:themeColor="text1"/>
          <w:sz w:val="24"/>
          <w:szCs w:val="24"/>
        </w:rPr>
        <w:t>4</w:t>
      </w:r>
      <w:r w:rsidRPr="00CA2C15">
        <w:rPr>
          <w:rFonts w:ascii="Calibri" w:eastAsia="Arial" w:hAnsi="Calibri" w:cs="Calibri"/>
          <w:color w:val="000000" w:themeColor="text1"/>
          <w:sz w:val="24"/>
          <w:szCs w:val="24"/>
        </w:rPr>
        <w:t xml:space="preserve">. The solicitor can emphasise the need for an urgent hearing, as per the permission </w:t>
      </w:r>
      <w:r w:rsidR="00AA663B" w:rsidRPr="00CA2C15">
        <w:rPr>
          <w:rFonts w:ascii="Calibri" w:eastAsia="Arial" w:hAnsi="Calibri" w:cs="Calibri"/>
          <w:color w:val="000000" w:themeColor="text1"/>
          <w:sz w:val="24"/>
          <w:szCs w:val="24"/>
        </w:rPr>
        <w:t>j</w:t>
      </w:r>
      <w:r w:rsidRPr="00CA2C15">
        <w:rPr>
          <w:rFonts w:ascii="Calibri" w:eastAsia="Arial" w:hAnsi="Calibri" w:cs="Calibri"/>
          <w:color w:val="000000" w:themeColor="text1"/>
          <w:sz w:val="24"/>
          <w:szCs w:val="24"/>
        </w:rPr>
        <w:t xml:space="preserve">udge’s order, and press to secure a speedy listing. It will usually be the </w:t>
      </w:r>
      <w:r w:rsidR="002E0E96" w:rsidRPr="00CA2C15">
        <w:rPr>
          <w:rFonts w:ascii="Calibri" w:eastAsia="Arial" w:hAnsi="Calibri" w:cs="Calibri"/>
          <w:color w:val="000000" w:themeColor="text1"/>
          <w:sz w:val="24"/>
          <w:szCs w:val="24"/>
        </w:rPr>
        <w:t>c</w:t>
      </w:r>
      <w:r w:rsidRPr="00CA2C15">
        <w:rPr>
          <w:rFonts w:ascii="Calibri" w:eastAsia="Arial" w:hAnsi="Calibri" w:cs="Calibri"/>
          <w:color w:val="000000" w:themeColor="text1"/>
          <w:sz w:val="24"/>
          <w:szCs w:val="24"/>
        </w:rPr>
        <w:t xml:space="preserve">laimant’s solicitor who is anxious to ensure that the case gets listed promptly, although in some cases the </w:t>
      </w:r>
      <w:r w:rsidR="002E0E96" w:rsidRPr="00CA2C15">
        <w:rPr>
          <w:rFonts w:ascii="Calibri" w:eastAsia="Arial" w:hAnsi="Calibri" w:cs="Calibri"/>
          <w:color w:val="000000" w:themeColor="text1"/>
          <w:sz w:val="24"/>
          <w:szCs w:val="24"/>
        </w:rPr>
        <w:t>d</w:t>
      </w:r>
      <w:r w:rsidRPr="00CA2C15">
        <w:rPr>
          <w:rFonts w:ascii="Calibri" w:eastAsia="Arial" w:hAnsi="Calibri" w:cs="Calibri"/>
          <w:color w:val="000000" w:themeColor="text1"/>
          <w:sz w:val="24"/>
          <w:szCs w:val="24"/>
        </w:rPr>
        <w:t>efendant may wish to take these steps (for example where there is costly interim relief in place).</w:t>
      </w:r>
    </w:p>
    <w:p w14:paraId="39E96BBB" w14:textId="77777777" w:rsidR="00B935ED" w:rsidRPr="00CA2C15" w:rsidRDefault="00B935ED" w:rsidP="000568AE">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Planning</w:t>
      </w:r>
      <w:r w:rsidRPr="00CA2C15">
        <w:rPr>
          <w:rFonts w:ascii="Calibri" w:eastAsia="Arial" w:hAnsi="Calibri" w:cs="Calibri"/>
          <w:color w:val="000000"/>
          <w:sz w:val="24"/>
          <w:szCs w:val="24"/>
        </w:rPr>
        <w:t xml:space="preserve"> cases are heard within tight target timescales laid down in CPR PD </w:t>
      </w:r>
      <w:r w:rsidRPr="00CA2C15">
        <w:rPr>
          <w:rFonts w:ascii="Calibri" w:eastAsia="Arial" w:hAnsi="Calibri" w:cs="Calibri"/>
          <w:iCs/>
          <w:color w:val="000000"/>
          <w:sz w:val="24"/>
          <w:szCs w:val="24"/>
        </w:rPr>
        <w:t>54D,</w:t>
      </w:r>
      <w:r w:rsidRPr="00CA2C15">
        <w:rPr>
          <w:rFonts w:ascii="Calibri" w:eastAsia="Arial" w:hAnsi="Calibri" w:cs="Calibri"/>
          <w:color w:val="000000"/>
          <w:sz w:val="24"/>
          <w:szCs w:val="24"/>
        </w:rPr>
        <w:t xml:space="preserve"> para. 3.4.</w:t>
      </w:r>
    </w:p>
    <w:p w14:paraId="04F8B2BF" w14:textId="35F01156" w:rsidR="001C4500" w:rsidRPr="00CA2C15" w:rsidRDefault="00B935ED" w:rsidP="001C4500">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In other cases, the list office will usually contact counsels’ clerks to discuss listing dates</w:t>
      </w:r>
      <w:r w:rsidR="00790A49"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a few weeks after permission has been granted.</w:t>
      </w:r>
    </w:p>
    <w:p w14:paraId="29285D36" w14:textId="77777777" w:rsidR="00B935ED" w:rsidRPr="00CA2C15" w:rsidRDefault="00B935ED" w:rsidP="000C7F88">
      <w:pPr>
        <w:spacing w:after="240" w:line="360" w:lineRule="auto"/>
        <w:ind w:left="216" w:firstLine="504"/>
        <w:jc w:val="both"/>
        <w:textAlignment w:val="baseline"/>
        <w:rPr>
          <w:rFonts w:ascii="Calibri" w:eastAsia="Arial" w:hAnsi="Calibri" w:cs="Calibri"/>
          <w:b/>
          <w:color w:val="000000"/>
          <w:sz w:val="24"/>
          <w:szCs w:val="24"/>
        </w:rPr>
      </w:pPr>
      <w:r w:rsidRPr="00CA2C15">
        <w:rPr>
          <w:rFonts w:ascii="Calibri" w:eastAsia="Arial" w:hAnsi="Calibri" w:cs="Calibri"/>
          <w:b/>
          <w:color w:val="000000"/>
          <w:sz w:val="24"/>
          <w:szCs w:val="24"/>
        </w:rPr>
        <w:t>Defendant’s Detailed Grounds and Evidence</w:t>
      </w:r>
    </w:p>
    <w:p w14:paraId="0C8C9DFD" w14:textId="201025C7" w:rsidR="00B935ED" w:rsidRPr="00CA2C15" w:rsidRDefault="00B935ED" w:rsidP="00CC7DD9">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iCs/>
          <w:color w:val="000000"/>
          <w:sz w:val="24"/>
          <w:szCs w:val="24"/>
        </w:rPr>
        <w:t>CPR</w:t>
      </w:r>
      <w:r w:rsidRPr="00CA2C15">
        <w:rPr>
          <w:rFonts w:ascii="Calibri" w:eastAsia="Arial" w:hAnsi="Calibri" w:cs="Calibri"/>
          <w:color w:val="000000"/>
          <w:sz w:val="24"/>
          <w:szCs w:val="24"/>
        </w:rPr>
        <w:t xml:space="preserve"> 54.</w:t>
      </w:r>
      <w:r w:rsidRPr="00CA2C15">
        <w:rPr>
          <w:rFonts w:ascii="Calibri" w:eastAsia="Times New Roman" w:hAnsi="Calibri" w:cs="Calibri"/>
          <w:sz w:val="24"/>
          <w:szCs w:val="20"/>
          <w:lang w:val="en-GB"/>
        </w:rPr>
        <w:t>10</w:t>
      </w:r>
      <w:r w:rsidRPr="00CA2C15">
        <w:rPr>
          <w:rFonts w:ascii="Calibri" w:eastAsia="Arial" w:hAnsi="Calibri" w:cs="Calibri"/>
          <w:color w:val="000000"/>
          <w:sz w:val="24"/>
          <w:szCs w:val="24"/>
        </w:rPr>
        <w:t xml:space="preserve">(1) provides that where permission to proceed is given the court may also give directions. The content of these </w:t>
      </w:r>
      <w:r w:rsidR="00DC6F09" w:rsidRPr="00CA2C15">
        <w:rPr>
          <w:rFonts w:ascii="Calibri" w:eastAsia="Arial" w:hAnsi="Calibri" w:cs="Calibri"/>
          <w:color w:val="000000"/>
          <w:sz w:val="24"/>
          <w:szCs w:val="24"/>
        </w:rPr>
        <w:t xml:space="preserve">directions </w:t>
      </w:r>
      <w:r w:rsidRPr="00CA2C15">
        <w:rPr>
          <w:rFonts w:ascii="Calibri" w:eastAsia="Arial" w:hAnsi="Calibri" w:cs="Calibri"/>
          <w:color w:val="000000"/>
          <w:sz w:val="24"/>
          <w:szCs w:val="24"/>
        </w:rPr>
        <w:t>vary depending on the nature of the case; conventional directions might be as follows:</w:t>
      </w:r>
    </w:p>
    <w:p w14:paraId="09959D53" w14:textId="77777777" w:rsidR="00B935ED" w:rsidRPr="00CA2C15" w:rsidRDefault="00B935ED" w:rsidP="00CC7DD9">
      <w:pPr>
        <w:numPr>
          <w:ilvl w:val="0"/>
          <w:numId w:val="15"/>
        </w:numPr>
        <w:tabs>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Permission to apply for Judicial Review is granted.</w:t>
      </w:r>
    </w:p>
    <w:p w14:paraId="4BC12549" w14:textId="20CC08F1" w:rsidR="00B935ED" w:rsidRPr="00CA2C15" w:rsidRDefault="00B935ED" w:rsidP="00CC7DD9">
      <w:pPr>
        <w:numPr>
          <w:ilvl w:val="0"/>
          <w:numId w:val="15"/>
        </w:numPr>
        <w:tabs>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Defendant </w:t>
      </w:r>
      <w:r w:rsidR="00376982" w:rsidRPr="00CA2C15">
        <w:rPr>
          <w:rFonts w:ascii="Calibri" w:eastAsia="Arial" w:hAnsi="Calibri" w:cs="Calibri"/>
          <w:color w:val="000000"/>
          <w:sz w:val="24"/>
          <w:szCs w:val="24"/>
        </w:rPr>
        <w:t>to</w:t>
      </w:r>
      <w:r w:rsidR="002F41B2"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file with the </w:t>
      </w:r>
      <w:r w:rsidR="004C7D99"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and serve on the </w:t>
      </w:r>
      <w:r w:rsidR="00CC7DD9"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detailed grounds for contesting the application and any written evidence within 35 days from the date of service of this </w:t>
      </w:r>
      <w:r w:rsidR="004C7D99" w:rsidRPr="00CA2C15">
        <w:rPr>
          <w:rFonts w:ascii="Calibri" w:eastAsia="Arial" w:hAnsi="Calibri" w:cs="Calibri"/>
          <w:color w:val="000000"/>
          <w:sz w:val="24"/>
          <w:szCs w:val="24"/>
        </w:rPr>
        <w:t>o</w:t>
      </w:r>
      <w:r w:rsidRPr="00CA2C15">
        <w:rPr>
          <w:rFonts w:ascii="Calibri" w:eastAsia="Arial" w:hAnsi="Calibri" w:cs="Calibri"/>
          <w:color w:val="000000"/>
          <w:sz w:val="24"/>
          <w:szCs w:val="24"/>
        </w:rPr>
        <w:t>rder.</w:t>
      </w:r>
    </w:p>
    <w:p w14:paraId="4BC03AD5" w14:textId="4E7FBB33" w:rsidR="00B935ED" w:rsidRPr="00CA2C15" w:rsidRDefault="00B935ED" w:rsidP="00CC7DD9">
      <w:pPr>
        <w:numPr>
          <w:ilvl w:val="0"/>
          <w:numId w:val="15"/>
        </w:numPr>
        <w:tabs>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Any reply </w:t>
      </w:r>
      <w:r w:rsidRPr="00CA2C15">
        <w:rPr>
          <w:rFonts w:ascii="Calibri" w:eastAsia="Times New Roman" w:hAnsi="Calibri" w:cs="Calibri"/>
          <w:sz w:val="24"/>
          <w:szCs w:val="20"/>
          <w:lang w:val="en-GB"/>
        </w:rPr>
        <w:t>and</w:t>
      </w:r>
      <w:r w:rsidRPr="00CA2C15">
        <w:rPr>
          <w:rFonts w:ascii="Calibri" w:eastAsia="Arial" w:hAnsi="Calibri" w:cs="Calibri"/>
          <w:color w:val="000000"/>
          <w:sz w:val="24"/>
          <w:szCs w:val="24"/>
        </w:rPr>
        <w:t xml:space="preserve"> any application by the </w:t>
      </w:r>
      <w:r w:rsidR="002F41B2"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to adduce further evidence must be filed within 14 days of service of detailed grounds for contesting the application.</w:t>
      </w:r>
    </w:p>
    <w:p w14:paraId="289DEB00" w14:textId="7311E45E" w:rsidR="00B935ED" w:rsidRPr="00CA2C15" w:rsidRDefault="00B935ED" w:rsidP="00CC7DD9">
      <w:pPr>
        <w:numPr>
          <w:ilvl w:val="0"/>
          <w:numId w:val="15"/>
        </w:numPr>
        <w:tabs>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Pr="00CA2C15">
        <w:rPr>
          <w:rFonts w:ascii="Calibri" w:eastAsia="Times New Roman" w:hAnsi="Calibri" w:cs="Calibri"/>
          <w:sz w:val="24"/>
          <w:szCs w:val="20"/>
          <w:lang w:val="en-GB"/>
        </w:rPr>
        <w:t>application</w:t>
      </w:r>
      <w:r w:rsidRPr="00CA2C15">
        <w:rPr>
          <w:rFonts w:ascii="Calibri" w:eastAsia="Arial" w:hAnsi="Calibri" w:cs="Calibri"/>
          <w:color w:val="000000"/>
          <w:sz w:val="24"/>
          <w:szCs w:val="24"/>
        </w:rPr>
        <w:t xml:space="preserve"> shall be listed on the first available date thereafter with a time estimate of </w:t>
      </w:r>
      <w:r w:rsidR="006B26D5" w:rsidRPr="00CA2C15">
        <w:rPr>
          <w:rFonts w:ascii="Calibri" w:eastAsia="Arial" w:hAnsi="Calibri" w:cs="Calibri"/>
          <w:color w:val="000000"/>
          <w:sz w:val="24"/>
          <w:szCs w:val="24"/>
        </w:rPr>
        <w:t>anything between 3 hours and several days depending on the case</w:t>
      </w:r>
      <w:r w:rsidRPr="00CA2C15">
        <w:rPr>
          <w:rFonts w:ascii="Calibri" w:eastAsia="Arial" w:hAnsi="Calibri" w:cs="Calibri"/>
          <w:color w:val="000000"/>
          <w:sz w:val="24"/>
          <w:szCs w:val="24"/>
        </w:rPr>
        <w:t>.</w:t>
      </w:r>
    </w:p>
    <w:p w14:paraId="4D4D2EE0" w14:textId="72684752" w:rsidR="00B935ED" w:rsidRPr="00CA2C15" w:rsidRDefault="00B935ED" w:rsidP="00CC7DD9">
      <w:pPr>
        <w:numPr>
          <w:ilvl w:val="0"/>
          <w:numId w:val="15"/>
        </w:numPr>
        <w:tabs>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Claimant must file with the </w:t>
      </w:r>
      <w:r w:rsidR="00471DDC"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 and serve on the Defendant a skeleton argument and trial bundle no later than 21 days before the hearing.</w:t>
      </w:r>
    </w:p>
    <w:p w14:paraId="250C12FB" w14:textId="56C290BB" w:rsidR="00B935ED" w:rsidRPr="00CA2C15" w:rsidRDefault="00B935ED" w:rsidP="00CC7DD9">
      <w:pPr>
        <w:numPr>
          <w:ilvl w:val="0"/>
          <w:numId w:val="15"/>
        </w:numPr>
        <w:tabs>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Defendant must file with the </w:t>
      </w:r>
      <w:r w:rsidR="007E4196"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 and serve on the Claimant a skeleton argument not later than 14 days before the hearing.</w:t>
      </w:r>
    </w:p>
    <w:p w14:paraId="5B40E539" w14:textId="1072D1A1" w:rsidR="00B935ED" w:rsidRPr="00CA2C15" w:rsidRDefault="00B935ED" w:rsidP="00CC7DD9">
      <w:pPr>
        <w:numPr>
          <w:ilvl w:val="0"/>
          <w:numId w:val="15"/>
        </w:numPr>
        <w:tabs>
          <w:tab w:val="num" w:pos="2160"/>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00D01D03" w:rsidRPr="00CA2C15">
        <w:rPr>
          <w:rFonts w:ascii="Calibri" w:eastAsia="Times New Roman" w:hAnsi="Calibri" w:cs="Calibri"/>
          <w:sz w:val="24"/>
          <w:szCs w:val="20"/>
          <w:lang w:val="en-GB"/>
        </w:rPr>
        <w:t>c</w:t>
      </w:r>
      <w:r w:rsidR="007E4196" w:rsidRPr="00CA2C15">
        <w:rPr>
          <w:rFonts w:ascii="Calibri" w:eastAsia="Times New Roman" w:hAnsi="Calibri" w:cs="Calibri"/>
          <w:sz w:val="24"/>
          <w:szCs w:val="20"/>
          <w:lang w:val="en-GB"/>
        </w:rPr>
        <w:t>laimant</w:t>
      </w:r>
      <w:r w:rsidR="007E4196"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must file an agreed bundle of authorities, not less than 3 days before the date of the hearing.</w:t>
      </w:r>
    </w:p>
    <w:p w14:paraId="0B0E5327" w14:textId="1FE0BB1F" w:rsidR="00B935ED" w:rsidRPr="00CA2C15" w:rsidRDefault="00B935ED" w:rsidP="001D53F8">
      <w:pPr>
        <w:numPr>
          <w:ilvl w:val="0"/>
          <w:numId w:val="4"/>
        </w:numPr>
        <w:tabs>
          <w:tab w:val="num" w:pos="1430"/>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reference to the </w:t>
      </w:r>
      <w:r w:rsidR="001D53F8"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filing its Detailed Grounds for contesting the claim </w:t>
      </w:r>
      <w:r w:rsidRPr="00CA2C15">
        <w:rPr>
          <w:rFonts w:ascii="Calibri" w:eastAsia="Arial" w:hAnsi="Calibri" w:cs="Calibri"/>
          <w:iCs/>
          <w:color w:val="000000"/>
          <w:sz w:val="24"/>
          <w:szCs w:val="24"/>
        </w:rPr>
        <w:t>arises</w:t>
      </w:r>
      <w:r w:rsidRPr="00CA2C15">
        <w:rPr>
          <w:rFonts w:ascii="Calibri" w:eastAsia="Arial" w:hAnsi="Calibri" w:cs="Calibri"/>
          <w:color w:val="000000"/>
          <w:sz w:val="24"/>
          <w:szCs w:val="24"/>
        </w:rPr>
        <w:t xml:space="preserve"> </w:t>
      </w:r>
      <w:r w:rsidRPr="00CA2C15">
        <w:rPr>
          <w:rFonts w:ascii="Calibri" w:eastAsia="Times New Roman" w:hAnsi="Calibri" w:cs="Calibri"/>
          <w:sz w:val="24"/>
          <w:szCs w:val="20"/>
          <w:lang w:val="en-GB"/>
        </w:rPr>
        <w:t>from</w:t>
      </w:r>
      <w:r w:rsidRPr="00CA2C15">
        <w:rPr>
          <w:rFonts w:ascii="Calibri" w:eastAsia="Arial" w:hAnsi="Calibri" w:cs="Calibri"/>
          <w:color w:val="000000"/>
          <w:sz w:val="24"/>
          <w:szCs w:val="24"/>
        </w:rPr>
        <w:t xml:space="preserve"> CPR r.54.14:</w:t>
      </w:r>
    </w:p>
    <w:p w14:paraId="22D22C75" w14:textId="77777777" w:rsidR="0024372A" w:rsidRPr="00CA2C15" w:rsidRDefault="00B935ED" w:rsidP="001D53F8">
      <w:pPr>
        <w:numPr>
          <w:ilvl w:val="0"/>
          <w:numId w:val="16"/>
        </w:numPr>
        <w:tabs>
          <w:tab w:val="num" w:pos="2873"/>
        </w:tabs>
        <w:spacing w:after="240" w:line="360" w:lineRule="auto"/>
        <w:ind w:left="2160" w:hanging="720"/>
        <w:jc w:val="both"/>
        <w:rPr>
          <w:rFonts w:ascii="Calibri" w:eastAsia="Arial" w:hAnsi="Calibri" w:cs="Calibri"/>
          <w:color w:val="000000"/>
        </w:rPr>
      </w:pPr>
      <w:r w:rsidRPr="00CA2C15">
        <w:rPr>
          <w:rFonts w:ascii="Calibri" w:eastAsia="Arial" w:hAnsi="Calibri" w:cs="Calibri"/>
          <w:color w:val="000000"/>
        </w:rPr>
        <w:t xml:space="preserve">A </w:t>
      </w:r>
      <w:r w:rsidRPr="00CA2C15">
        <w:rPr>
          <w:rFonts w:ascii="Calibri" w:eastAsia="Times New Roman" w:hAnsi="Calibri" w:cs="Calibri"/>
          <w:szCs w:val="18"/>
          <w:lang w:val="en-GB"/>
        </w:rPr>
        <w:t>defendant</w:t>
      </w:r>
      <w:r w:rsidRPr="00CA2C15">
        <w:rPr>
          <w:rFonts w:ascii="Calibri" w:eastAsia="Arial" w:hAnsi="Calibri" w:cs="Calibri"/>
          <w:color w:val="000000"/>
        </w:rPr>
        <w:t xml:space="preserve"> and any other person served with the claim form who wishes to contest the claim or support it on additional grounds must file and serve –</w:t>
      </w:r>
    </w:p>
    <w:p w14:paraId="71304581" w14:textId="77777777" w:rsidR="0024372A" w:rsidRPr="00CA2C15" w:rsidRDefault="00B935ED" w:rsidP="001D53F8">
      <w:pPr>
        <w:numPr>
          <w:ilvl w:val="1"/>
          <w:numId w:val="16"/>
        </w:numPr>
        <w:spacing w:after="240" w:line="360" w:lineRule="auto"/>
        <w:ind w:left="2644"/>
        <w:jc w:val="both"/>
        <w:rPr>
          <w:rFonts w:ascii="Calibri" w:eastAsia="Arial" w:hAnsi="Calibri" w:cs="Calibri"/>
          <w:color w:val="000000"/>
        </w:rPr>
      </w:pPr>
      <w:r w:rsidRPr="00CA2C15">
        <w:rPr>
          <w:rFonts w:ascii="Calibri" w:eastAsia="Arial" w:hAnsi="Calibri" w:cs="Calibri"/>
          <w:color w:val="000000"/>
        </w:rPr>
        <w:t>detailed grounds for contesting the claim or supporting it on additional grounds; and</w:t>
      </w:r>
    </w:p>
    <w:p w14:paraId="0213A91A" w14:textId="77777777" w:rsidR="00AD5817" w:rsidRPr="00CA2C15" w:rsidRDefault="00B935ED" w:rsidP="001D53F8">
      <w:pPr>
        <w:numPr>
          <w:ilvl w:val="1"/>
          <w:numId w:val="16"/>
        </w:numPr>
        <w:spacing w:after="240" w:line="360" w:lineRule="auto"/>
        <w:ind w:left="2644"/>
        <w:jc w:val="both"/>
        <w:rPr>
          <w:rFonts w:ascii="Calibri" w:eastAsia="Arial" w:hAnsi="Calibri" w:cs="Calibri"/>
          <w:color w:val="000000"/>
        </w:rPr>
      </w:pPr>
      <w:r w:rsidRPr="00CA2C15">
        <w:rPr>
          <w:rFonts w:ascii="Calibri" w:eastAsia="Arial" w:hAnsi="Calibri" w:cs="Calibri"/>
          <w:color w:val="000000"/>
        </w:rPr>
        <w:t>any written evidence</w:t>
      </w:r>
    </w:p>
    <w:p w14:paraId="612B5945" w14:textId="0B775F7E" w:rsidR="00B935ED" w:rsidRPr="00CA2C15" w:rsidRDefault="00B935ED" w:rsidP="001D53F8">
      <w:pPr>
        <w:spacing w:after="240" w:line="360" w:lineRule="auto"/>
        <w:ind w:left="713" w:firstLine="720"/>
        <w:jc w:val="both"/>
        <w:rPr>
          <w:rFonts w:ascii="Calibri" w:eastAsia="Arial" w:hAnsi="Calibri" w:cs="Calibri"/>
          <w:color w:val="000000"/>
        </w:rPr>
      </w:pPr>
      <w:r w:rsidRPr="00CA2C15">
        <w:rPr>
          <w:rFonts w:ascii="Calibri" w:eastAsia="Arial" w:hAnsi="Calibri" w:cs="Calibri"/>
          <w:color w:val="000000"/>
        </w:rPr>
        <w:t>within 35 days after service of the order giving permission.</w:t>
      </w:r>
    </w:p>
    <w:p w14:paraId="570C8887" w14:textId="7D972655"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This standard 35-day timetable will not apply if the </w:t>
      </w:r>
      <w:r w:rsidR="002A0388"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 when granting permission has made bespoke directions setting a different timetable. Detailed Grounds must be concise and shall not exceed 40 pages (PD54A para </w:t>
      </w:r>
      <w:r w:rsidR="00936D3E" w:rsidRPr="00CA2C15">
        <w:rPr>
          <w:rFonts w:ascii="Calibri" w:eastAsia="Arial" w:hAnsi="Calibri" w:cs="Calibri"/>
          <w:color w:val="000000"/>
          <w:sz w:val="24"/>
          <w:szCs w:val="24"/>
        </w:rPr>
        <w:t>10</w:t>
      </w:r>
      <w:r w:rsidRPr="00CA2C15">
        <w:rPr>
          <w:rFonts w:ascii="Calibri" w:eastAsia="Arial" w:hAnsi="Calibri" w:cs="Calibri"/>
          <w:color w:val="000000"/>
          <w:sz w:val="24"/>
          <w:szCs w:val="24"/>
        </w:rPr>
        <w:t xml:space="preserve">.1(2)). As per </w:t>
      </w:r>
      <w:r w:rsidRPr="00CA2C15">
        <w:rPr>
          <w:rFonts w:ascii="Calibri" w:eastAsia="Arial" w:hAnsi="Calibri" w:cs="Calibri"/>
          <w:iCs/>
          <w:color w:val="000000"/>
          <w:sz w:val="24"/>
          <w:szCs w:val="24"/>
        </w:rPr>
        <w:t>PD54A</w:t>
      </w:r>
      <w:r w:rsidRPr="00CA2C15">
        <w:rPr>
          <w:rFonts w:ascii="Calibri" w:eastAsia="Arial" w:hAnsi="Calibri" w:cs="Calibri"/>
          <w:color w:val="000000"/>
          <w:sz w:val="24"/>
          <w:szCs w:val="24"/>
        </w:rPr>
        <w:t xml:space="preserve"> para </w:t>
      </w:r>
      <w:r w:rsidR="00C51A6F" w:rsidRPr="00CA2C15">
        <w:rPr>
          <w:rFonts w:ascii="Calibri" w:eastAsia="Arial" w:hAnsi="Calibri" w:cs="Calibri"/>
          <w:color w:val="000000"/>
          <w:sz w:val="24"/>
          <w:szCs w:val="24"/>
        </w:rPr>
        <w:t>10</w:t>
      </w:r>
      <w:r w:rsidRPr="00CA2C15">
        <w:rPr>
          <w:rFonts w:ascii="Calibri" w:eastAsia="Arial" w:hAnsi="Calibri" w:cs="Calibri"/>
          <w:color w:val="000000"/>
          <w:sz w:val="24"/>
          <w:szCs w:val="24"/>
        </w:rPr>
        <w:t xml:space="preserve">.1, if the </w:t>
      </w:r>
      <w:r w:rsidR="002A7517"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has already filed Summary Grounds and if those have addressed all relevant matters, it may inform the court and other parties that the Summary Grounds will stand as its Detailed Grounds.</w:t>
      </w:r>
    </w:p>
    <w:p w14:paraId="16DE826E" w14:textId="3DE35AB6"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CPR Part 54 does not explicitly envisage </w:t>
      </w:r>
      <w:r w:rsidR="002A7517"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laimants responding to the Detailed </w:t>
      </w:r>
      <w:r w:rsidRPr="00CA2C15">
        <w:rPr>
          <w:rFonts w:ascii="Calibri" w:eastAsia="Arial" w:hAnsi="Calibri" w:cs="Calibri"/>
          <w:iCs/>
          <w:color w:val="000000"/>
          <w:sz w:val="24"/>
          <w:szCs w:val="24"/>
        </w:rPr>
        <w:t xml:space="preserve">Grounds </w:t>
      </w:r>
      <w:r w:rsidRPr="00CA2C15">
        <w:rPr>
          <w:rFonts w:ascii="Calibri" w:eastAsia="Arial" w:hAnsi="Calibri" w:cs="Calibri"/>
          <w:color w:val="000000"/>
          <w:sz w:val="24"/>
          <w:szCs w:val="24"/>
        </w:rPr>
        <w:t xml:space="preserve">and evidence. However, as mentioned above, it is now increasingly common for the </w:t>
      </w:r>
      <w:r w:rsidRPr="00CA2C15">
        <w:rPr>
          <w:rFonts w:ascii="Calibri" w:eastAsia="Times New Roman" w:hAnsi="Calibri" w:cs="Calibri"/>
          <w:sz w:val="24"/>
          <w:szCs w:val="20"/>
          <w:lang w:val="en-GB"/>
        </w:rPr>
        <w:t>permission</w:t>
      </w:r>
      <w:r w:rsidRPr="00CA2C15">
        <w:rPr>
          <w:rFonts w:ascii="Calibri" w:eastAsia="Arial" w:hAnsi="Calibri" w:cs="Calibri"/>
          <w:color w:val="000000"/>
          <w:sz w:val="24"/>
          <w:szCs w:val="24"/>
        </w:rPr>
        <w:t xml:space="preserve"> </w:t>
      </w:r>
      <w:r w:rsidR="00A02DA2" w:rsidRPr="00CA2C15">
        <w:rPr>
          <w:rFonts w:ascii="Calibri" w:eastAsia="Arial" w:hAnsi="Calibri" w:cs="Calibri"/>
          <w:color w:val="000000"/>
          <w:sz w:val="24"/>
          <w:szCs w:val="24"/>
        </w:rPr>
        <w:t>j</w:t>
      </w:r>
      <w:r w:rsidRPr="00CA2C15">
        <w:rPr>
          <w:rFonts w:ascii="Calibri" w:eastAsia="Arial" w:hAnsi="Calibri" w:cs="Calibri"/>
          <w:color w:val="000000"/>
          <w:sz w:val="24"/>
          <w:szCs w:val="24"/>
        </w:rPr>
        <w:t xml:space="preserve">udge to build into the timetable an opportunity for the </w:t>
      </w:r>
      <w:r w:rsidR="002A7517"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to respond to the Detailed Grounds and file any further evidence, and, if acting for a </w:t>
      </w:r>
      <w:r w:rsidR="002A7517"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it is sensible to request that this be provided for in the order granting permission.</w:t>
      </w:r>
    </w:p>
    <w:p w14:paraId="098DA44C" w14:textId="77777777" w:rsidR="00853003" w:rsidRPr="00CA2C15" w:rsidRDefault="00853003" w:rsidP="00853003">
      <w:pPr>
        <w:spacing w:after="240" w:line="360" w:lineRule="auto"/>
        <w:jc w:val="both"/>
        <w:rPr>
          <w:rFonts w:ascii="Calibri" w:eastAsia="Arial" w:hAnsi="Calibri" w:cs="Calibri"/>
          <w:color w:val="000000"/>
          <w:sz w:val="24"/>
          <w:szCs w:val="24"/>
        </w:rPr>
      </w:pPr>
    </w:p>
    <w:p w14:paraId="753394C6" w14:textId="77777777" w:rsidR="00853003" w:rsidRPr="00CA2C15" w:rsidRDefault="00853003" w:rsidP="00853003">
      <w:pPr>
        <w:spacing w:after="240" w:line="360" w:lineRule="auto"/>
        <w:jc w:val="both"/>
        <w:rPr>
          <w:rFonts w:ascii="Calibri" w:eastAsia="Arial" w:hAnsi="Calibri" w:cs="Calibri"/>
          <w:color w:val="000000"/>
          <w:sz w:val="24"/>
          <w:szCs w:val="24"/>
        </w:rPr>
      </w:pPr>
    </w:p>
    <w:p w14:paraId="519EDF8C" w14:textId="77777777" w:rsidR="00853003" w:rsidRPr="00CA2C15" w:rsidRDefault="00853003" w:rsidP="00853003">
      <w:pPr>
        <w:spacing w:after="240" w:line="360" w:lineRule="auto"/>
        <w:jc w:val="both"/>
        <w:rPr>
          <w:rFonts w:ascii="Calibri" w:eastAsia="Arial" w:hAnsi="Calibri" w:cs="Calibri"/>
          <w:color w:val="000000"/>
          <w:sz w:val="24"/>
          <w:szCs w:val="24"/>
        </w:rPr>
      </w:pPr>
    </w:p>
    <w:p w14:paraId="3F4F16AE" w14:textId="77777777" w:rsidR="005138EB" w:rsidRPr="00CA2C15" w:rsidRDefault="00B935ED" w:rsidP="0024372A">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z w:val="24"/>
          <w:szCs w:val="24"/>
          <w:u w:val="single"/>
        </w:rPr>
        <w:t xml:space="preserve">INTERIM </w:t>
      </w:r>
      <w:r w:rsidRPr="00CA2C15">
        <w:rPr>
          <w:rFonts w:ascii="Calibri" w:eastAsia="Arial" w:hAnsi="Calibri" w:cs="Calibri"/>
          <w:b/>
          <w:color w:val="000000"/>
          <w:spacing w:val="-2"/>
          <w:sz w:val="24"/>
          <w:szCs w:val="24"/>
          <w:u w:val="single"/>
        </w:rPr>
        <w:t>APPLICATIONS</w:t>
      </w:r>
    </w:p>
    <w:p w14:paraId="03B0103B" w14:textId="616A1FB4" w:rsidR="00B935ED" w:rsidRPr="00CA2C15" w:rsidRDefault="00B935ED" w:rsidP="0024372A">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z w:val="24"/>
          <w:szCs w:val="24"/>
        </w:rPr>
        <w:t>Procedure for making interim applications</w:t>
      </w:r>
    </w:p>
    <w:p w14:paraId="146B6B19" w14:textId="73F47ECD"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 procedure in CPR Part 23 applies and an application should be made in an application notice. Note that under CPR 54.1A</w:t>
      </w:r>
      <w:r w:rsidR="008C134C" w:rsidRPr="00CA2C15">
        <w:rPr>
          <w:rFonts w:ascii="Calibri" w:eastAsia="Arial" w:hAnsi="Calibri" w:cs="Calibri"/>
          <w:color w:val="000000"/>
          <w:sz w:val="24"/>
          <w:szCs w:val="24"/>
        </w:rPr>
        <w:t>(</w:t>
      </w:r>
      <w:r w:rsidR="00033C86" w:rsidRPr="00CA2C15">
        <w:rPr>
          <w:rFonts w:ascii="Calibri" w:eastAsia="Arial" w:hAnsi="Calibri" w:cs="Calibri"/>
          <w:color w:val="000000"/>
          <w:sz w:val="24"/>
          <w:szCs w:val="24"/>
        </w:rPr>
        <w:t>1</w:t>
      </w:r>
      <w:r w:rsidR="008C134C"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a </w:t>
      </w:r>
      <w:r w:rsidR="006670A4"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officer who is a </w:t>
      </w:r>
      <w:r w:rsidRPr="00CA2C15">
        <w:rPr>
          <w:rFonts w:ascii="Calibri" w:eastAsia="Arial" w:hAnsi="Calibri" w:cs="Calibri"/>
          <w:iCs/>
          <w:color w:val="000000"/>
          <w:sz w:val="24"/>
          <w:szCs w:val="24"/>
        </w:rPr>
        <w:t>barrister</w:t>
      </w:r>
      <w:r w:rsidR="00E836B2" w:rsidRPr="00CA2C15">
        <w:rPr>
          <w:rFonts w:ascii="Calibri" w:eastAsia="Arial" w:hAnsi="Calibri" w:cs="Calibri"/>
          <w:color w:val="000000"/>
          <w:sz w:val="24"/>
          <w:szCs w:val="24"/>
        </w:rPr>
        <w:t>,</w:t>
      </w:r>
      <w:r w:rsidR="00FF28AB"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solicitor</w:t>
      </w:r>
      <w:r w:rsidR="00E836B2" w:rsidRPr="00CA2C15">
        <w:rPr>
          <w:rFonts w:ascii="Calibri" w:eastAsia="Arial" w:hAnsi="Calibri" w:cs="Calibri"/>
          <w:color w:val="000000"/>
          <w:sz w:val="24"/>
          <w:szCs w:val="24"/>
        </w:rPr>
        <w:t xml:space="preserve"> or CILEX lawyer</w:t>
      </w:r>
      <w:r w:rsidRPr="00CA2C15">
        <w:rPr>
          <w:rFonts w:ascii="Calibri" w:eastAsia="Arial" w:hAnsi="Calibri" w:cs="Calibri"/>
          <w:color w:val="000000"/>
          <w:sz w:val="24"/>
          <w:szCs w:val="24"/>
        </w:rPr>
        <w:t xml:space="preserve"> may decide matters that are incidental to proceedings in the High Court or where there is no substantial dispute. This is subject to review by a judge upon request (</w:t>
      </w:r>
      <w:r w:rsidR="00033C86" w:rsidRPr="00CA2C15">
        <w:rPr>
          <w:rFonts w:ascii="Calibri" w:eastAsia="Arial" w:hAnsi="Calibri" w:cs="Calibri"/>
          <w:color w:val="000000"/>
          <w:sz w:val="24"/>
          <w:szCs w:val="24"/>
        </w:rPr>
        <w:t xml:space="preserve">CPR </w:t>
      </w:r>
      <w:r w:rsidRPr="00CA2C15">
        <w:rPr>
          <w:rFonts w:ascii="Calibri" w:eastAsia="Arial" w:hAnsi="Calibri" w:cs="Calibri"/>
          <w:color w:val="000000"/>
          <w:sz w:val="24"/>
          <w:szCs w:val="24"/>
        </w:rPr>
        <w:t>54.1A(5)).</w:t>
      </w:r>
    </w:p>
    <w:p w14:paraId="77F85261" w14:textId="28826322"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 </w:t>
      </w:r>
      <w:r w:rsidRPr="00CA2C15">
        <w:rPr>
          <w:rFonts w:ascii="Calibri" w:eastAsia="Times New Roman" w:hAnsi="Calibri" w:cs="Calibri"/>
          <w:sz w:val="24"/>
          <w:szCs w:val="20"/>
          <w:lang w:val="en-GB"/>
        </w:rPr>
        <w:t>different</w:t>
      </w:r>
      <w:r w:rsidRPr="00CA2C15">
        <w:rPr>
          <w:rFonts w:ascii="Calibri" w:eastAsia="Arial" w:hAnsi="Calibri" w:cs="Calibri"/>
          <w:color w:val="000000"/>
          <w:sz w:val="24"/>
          <w:szCs w:val="24"/>
        </w:rPr>
        <w:t xml:space="preserve"> procedure applies to applications for interim relief (e.g. an injunction) made after the start of proceedings. In that case CPR Part 25 applies.</w:t>
      </w:r>
    </w:p>
    <w:p w14:paraId="0C7D4B34" w14:textId="561BD819" w:rsidR="00B935ED" w:rsidRPr="00CA2C15" w:rsidRDefault="00B935ED" w:rsidP="0024372A">
      <w:pPr>
        <w:spacing w:after="240" w:line="360" w:lineRule="auto"/>
        <w:ind w:left="144" w:firstLine="576"/>
        <w:jc w:val="both"/>
        <w:textAlignment w:val="baseline"/>
        <w:rPr>
          <w:rFonts w:ascii="Calibri" w:eastAsia="Arial" w:hAnsi="Calibri" w:cs="Calibri"/>
          <w:b/>
          <w:color w:val="000000"/>
          <w:sz w:val="24"/>
          <w:szCs w:val="24"/>
        </w:rPr>
      </w:pPr>
      <w:r w:rsidRPr="00CA2C15">
        <w:rPr>
          <w:rFonts w:ascii="Calibri" w:eastAsia="Arial" w:hAnsi="Calibri" w:cs="Calibri"/>
          <w:b/>
          <w:color w:val="000000"/>
          <w:sz w:val="24"/>
          <w:szCs w:val="24"/>
        </w:rPr>
        <w:t xml:space="preserve">Further evidence and amendment of the </w:t>
      </w:r>
      <w:r w:rsidR="009F2712" w:rsidRPr="00CA2C15">
        <w:rPr>
          <w:rFonts w:ascii="Calibri" w:eastAsia="Arial" w:hAnsi="Calibri" w:cs="Calibri"/>
          <w:b/>
          <w:color w:val="000000"/>
          <w:sz w:val="24"/>
          <w:szCs w:val="24"/>
        </w:rPr>
        <w:t>c</w:t>
      </w:r>
      <w:r w:rsidRPr="00CA2C15">
        <w:rPr>
          <w:rFonts w:ascii="Calibri" w:eastAsia="Arial" w:hAnsi="Calibri" w:cs="Calibri"/>
          <w:b/>
          <w:color w:val="000000"/>
          <w:sz w:val="24"/>
          <w:szCs w:val="24"/>
        </w:rPr>
        <w:t>laimant’s case</w:t>
      </w:r>
    </w:p>
    <w:p w14:paraId="3EE5DD7F" w14:textId="3D073246"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iCs/>
          <w:color w:val="000000"/>
          <w:sz w:val="24"/>
          <w:szCs w:val="24"/>
        </w:rPr>
        <w:t>Part</w:t>
      </w:r>
      <w:r w:rsidRPr="00CA2C15">
        <w:rPr>
          <w:rFonts w:ascii="Calibri" w:eastAsia="Arial" w:hAnsi="Calibri" w:cs="Calibri"/>
          <w:color w:val="000000"/>
          <w:sz w:val="24"/>
          <w:szCs w:val="24"/>
        </w:rPr>
        <w:t xml:space="preserve"> 54 contemplates that the evidence and issues will crystallise at the time of the </w:t>
      </w:r>
      <w:r w:rsidR="009F2712"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efendant’s</w:t>
      </w:r>
      <w:r w:rsidR="005138EB"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Detailed Grounds and evidence. The rules do not explicitly provide for the </w:t>
      </w:r>
      <w:r w:rsidR="009F2712"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to serve evidence in response and this may not be necessary. Permission may be given for further evidence under </w:t>
      </w:r>
      <w:r w:rsidR="00183B7B" w:rsidRPr="00CA2C15">
        <w:rPr>
          <w:rFonts w:ascii="Calibri" w:eastAsia="Arial" w:hAnsi="Calibri" w:cs="Calibri"/>
          <w:color w:val="000000"/>
          <w:sz w:val="24"/>
          <w:szCs w:val="24"/>
        </w:rPr>
        <w:t xml:space="preserve">CPR </w:t>
      </w:r>
      <w:r w:rsidRPr="00CA2C15">
        <w:rPr>
          <w:rFonts w:ascii="Calibri" w:eastAsia="Arial" w:hAnsi="Calibri" w:cs="Calibri"/>
          <w:color w:val="000000"/>
          <w:sz w:val="24"/>
          <w:szCs w:val="24"/>
        </w:rPr>
        <w:t>54.16.</w:t>
      </w:r>
    </w:p>
    <w:p w14:paraId="136F1866" w14:textId="03A5E5FF" w:rsidR="00B935ED" w:rsidRPr="00CA2C15" w:rsidRDefault="00B663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P</w:t>
      </w:r>
      <w:r w:rsidR="00B935ED" w:rsidRPr="00CA2C15">
        <w:rPr>
          <w:rFonts w:ascii="Calibri" w:eastAsia="Times New Roman" w:hAnsi="Calibri" w:cs="Calibri"/>
          <w:sz w:val="24"/>
          <w:szCs w:val="20"/>
          <w:lang w:val="en-GB"/>
        </w:rPr>
        <w:t>ermission</w:t>
      </w:r>
      <w:r w:rsidR="00B935ED" w:rsidRPr="00CA2C15">
        <w:rPr>
          <w:rFonts w:ascii="Calibri" w:eastAsia="Arial" w:hAnsi="Calibri" w:cs="Calibri"/>
          <w:color w:val="000000"/>
          <w:sz w:val="24"/>
          <w:szCs w:val="24"/>
        </w:rPr>
        <w:t xml:space="preserve"> is specifically required for any party to rely on expert evidence (even expert evidence relied on in the original grounds). This will not normally be heard </w:t>
      </w:r>
      <w:r w:rsidR="009F2712" w:rsidRPr="00CA2C15">
        <w:rPr>
          <w:rFonts w:ascii="Calibri" w:eastAsia="Arial" w:hAnsi="Calibri" w:cs="Calibri"/>
          <w:color w:val="000000"/>
          <w:sz w:val="24"/>
          <w:szCs w:val="24"/>
        </w:rPr>
        <w:t>orally</w:t>
      </w:r>
      <w:r w:rsidR="00B935ED" w:rsidRPr="00CA2C15">
        <w:rPr>
          <w:rFonts w:ascii="Calibri" w:eastAsia="Arial" w:hAnsi="Calibri" w:cs="Calibri"/>
          <w:color w:val="000000"/>
          <w:sz w:val="24"/>
          <w:szCs w:val="24"/>
        </w:rPr>
        <w:t xml:space="preserve"> but CPR Part 35.4 still applies: </w:t>
      </w:r>
      <w:r w:rsidR="00B935ED" w:rsidRPr="00CA2C15">
        <w:rPr>
          <w:rFonts w:ascii="Calibri" w:eastAsia="Arial" w:hAnsi="Calibri" w:cs="Calibri"/>
          <w:i/>
          <w:color w:val="000000"/>
          <w:sz w:val="24"/>
          <w:szCs w:val="24"/>
        </w:rPr>
        <w:t xml:space="preserve">“no party may call an expert or put in evidence an expert’s report without the court’s permission” </w:t>
      </w:r>
      <w:r w:rsidR="00B935ED" w:rsidRPr="00CA2C15">
        <w:rPr>
          <w:rFonts w:ascii="Calibri" w:eastAsia="Arial" w:hAnsi="Calibri" w:cs="Calibri"/>
          <w:color w:val="000000"/>
          <w:sz w:val="24"/>
          <w:szCs w:val="24"/>
        </w:rPr>
        <w:t xml:space="preserve">- </w:t>
      </w:r>
      <w:r w:rsidR="00B935ED" w:rsidRPr="00CA2C15">
        <w:rPr>
          <w:rFonts w:ascii="Calibri" w:eastAsia="Arial" w:hAnsi="Calibri" w:cs="Calibri"/>
          <w:i/>
          <w:iCs/>
          <w:color w:val="000000"/>
          <w:sz w:val="24"/>
          <w:szCs w:val="24"/>
        </w:rPr>
        <w:t>R (Kemp)  v. Denbighshire Local Health Board</w:t>
      </w:r>
      <w:r w:rsidR="00B935ED" w:rsidRPr="00CA2C15">
        <w:rPr>
          <w:rFonts w:ascii="Calibri" w:eastAsia="Arial" w:hAnsi="Calibri" w:cs="Calibri"/>
          <w:color w:val="000000"/>
          <w:sz w:val="24"/>
          <w:szCs w:val="24"/>
        </w:rPr>
        <w:t xml:space="preserve"> [2006] EWHC 181 (Admin). </w:t>
      </w:r>
      <w:r w:rsidR="00B935ED" w:rsidRPr="00CA2C15">
        <w:rPr>
          <w:rFonts w:ascii="Calibri" w:eastAsia="Arial" w:hAnsi="Calibri" w:cs="Calibri"/>
          <w:i/>
          <w:iCs/>
          <w:color w:val="000000"/>
          <w:sz w:val="24"/>
          <w:szCs w:val="24"/>
        </w:rPr>
        <w:t>BY Development Ltd v. Covent Garden  Market Authority</w:t>
      </w:r>
      <w:r w:rsidR="00B935ED" w:rsidRPr="00CA2C15">
        <w:rPr>
          <w:rFonts w:ascii="Calibri" w:eastAsia="Arial" w:hAnsi="Calibri" w:cs="Calibri"/>
          <w:color w:val="000000"/>
          <w:sz w:val="24"/>
          <w:szCs w:val="24"/>
        </w:rPr>
        <w:t xml:space="preserve"> [2012] EWHC 2546 (TCC) explains that expert evidence is rarely needed or relevant in judicial review claims; the court is not the primary decision-maker. Note the criticism of late and </w:t>
      </w:r>
      <w:r w:rsidR="00B935ED" w:rsidRPr="00CA2C15">
        <w:rPr>
          <w:rFonts w:ascii="Calibri" w:eastAsia="Arial" w:hAnsi="Calibri" w:cs="Calibri"/>
          <w:iCs/>
          <w:color w:val="000000"/>
          <w:sz w:val="24"/>
          <w:szCs w:val="24"/>
        </w:rPr>
        <w:t>inappropriate</w:t>
      </w:r>
      <w:r w:rsidR="00B935ED" w:rsidRPr="00CA2C15">
        <w:rPr>
          <w:rFonts w:ascii="Calibri" w:eastAsia="Arial" w:hAnsi="Calibri" w:cs="Calibri"/>
          <w:color w:val="000000"/>
          <w:sz w:val="24"/>
          <w:szCs w:val="24"/>
        </w:rPr>
        <w:t xml:space="preserve"> expert evidence in </w:t>
      </w:r>
      <w:r w:rsidR="00B935ED" w:rsidRPr="00CA2C15">
        <w:rPr>
          <w:rFonts w:ascii="Calibri" w:eastAsia="Arial" w:hAnsi="Calibri" w:cs="Calibri"/>
          <w:i/>
          <w:iCs/>
          <w:color w:val="000000"/>
          <w:sz w:val="24"/>
          <w:szCs w:val="24"/>
        </w:rPr>
        <w:t>JG v. Lancashire CC</w:t>
      </w:r>
      <w:r w:rsidR="00B935ED" w:rsidRPr="00CA2C15">
        <w:rPr>
          <w:rFonts w:ascii="Calibri" w:eastAsia="Arial" w:hAnsi="Calibri" w:cs="Calibri"/>
          <w:color w:val="000000"/>
          <w:sz w:val="24"/>
          <w:szCs w:val="24"/>
        </w:rPr>
        <w:t xml:space="preserve"> [2011] EWHC 2295 (Admin) at para 59. The proper procedure to follow when seeking to admit expert evidence, and the circumstances in which permission may be granted to rely on it, were considered in some detail in </w:t>
      </w:r>
      <w:r w:rsidR="00B935ED" w:rsidRPr="00CA2C15">
        <w:rPr>
          <w:rFonts w:ascii="Calibri" w:eastAsia="Arial" w:hAnsi="Calibri" w:cs="Calibri"/>
          <w:i/>
          <w:iCs/>
          <w:color w:val="000000"/>
          <w:sz w:val="24"/>
          <w:szCs w:val="24"/>
        </w:rPr>
        <w:t xml:space="preserve">R (The Law Society) v. The Lord Chancellor </w:t>
      </w:r>
      <w:r w:rsidR="00B935ED" w:rsidRPr="00CA2C15">
        <w:rPr>
          <w:rFonts w:ascii="Calibri" w:eastAsia="Arial" w:hAnsi="Calibri" w:cs="Calibri"/>
          <w:color w:val="000000"/>
          <w:sz w:val="24"/>
          <w:szCs w:val="24"/>
        </w:rPr>
        <w:t>[2018] EWHC 2094 (Admin) at paras 35 to 61.</w:t>
      </w:r>
    </w:p>
    <w:p w14:paraId="2807AA91" w14:textId="58206E03"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However, oral evidence including oral expert evidence is usually heard in </w:t>
      </w:r>
      <w:r w:rsidRPr="00CA2C15">
        <w:rPr>
          <w:rFonts w:ascii="Calibri" w:eastAsia="Arial" w:hAnsi="Calibri" w:cs="Calibri"/>
          <w:iCs/>
          <w:color w:val="000000"/>
          <w:sz w:val="24"/>
          <w:szCs w:val="24"/>
        </w:rPr>
        <w:t xml:space="preserve">age </w:t>
      </w:r>
      <w:r w:rsidRPr="00CA2C15">
        <w:rPr>
          <w:rFonts w:ascii="Calibri" w:eastAsia="Arial" w:hAnsi="Calibri" w:cs="Calibri"/>
          <w:color w:val="000000"/>
          <w:sz w:val="24"/>
          <w:szCs w:val="24"/>
        </w:rPr>
        <w:t xml:space="preserve">assessment judicial </w:t>
      </w:r>
      <w:r w:rsidRPr="00CA2C15">
        <w:rPr>
          <w:rFonts w:ascii="Calibri" w:eastAsia="Times New Roman" w:hAnsi="Calibri" w:cs="Calibri"/>
          <w:sz w:val="24"/>
          <w:szCs w:val="20"/>
          <w:lang w:val="en-GB"/>
        </w:rPr>
        <w:t>reviews</w:t>
      </w:r>
      <w:r w:rsidRPr="00CA2C15">
        <w:rPr>
          <w:rFonts w:ascii="Calibri" w:eastAsia="Arial" w:hAnsi="Calibri" w:cs="Calibri"/>
          <w:color w:val="000000"/>
          <w:sz w:val="24"/>
          <w:szCs w:val="24"/>
        </w:rPr>
        <w:t xml:space="preserve"> in the Upper Tribunal (IAC) sitting in its judicial review capacity. In </w:t>
      </w:r>
      <w:r w:rsidRPr="00CA2C15">
        <w:rPr>
          <w:rFonts w:ascii="Calibri" w:eastAsia="Arial" w:hAnsi="Calibri" w:cs="Calibri"/>
          <w:i/>
          <w:iCs/>
          <w:color w:val="000000"/>
          <w:sz w:val="24"/>
          <w:szCs w:val="24"/>
        </w:rPr>
        <w:t>R (A) v London Borough of Croydon</w:t>
      </w:r>
      <w:r w:rsidRPr="00CA2C15">
        <w:rPr>
          <w:rFonts w:ascii="Calibri" w:eastAsia="Arial" w:hAnsi="Calibri" w:cs="Calibri"/>
          <w:color w:val="000000"/>
          <w:sz w:val="24"/>
          <w:szCs w:val="24"/>
        </w:rPr>
        <w:t xml:space="preserve"> [2009] UKSC 8 the Supreme Court held that in cases involving the exercise of a local authority’s statutory obligations in respect of children, a child’s age was a matter subject to determination by the court as a precedent fact. Neither the applicant nor the respondent bears a burden of proof but it is for the Tribunal to enquire and on the basis of the evidence produced to make a decision on a balance of probabilities.</w:t>
      </w:r>
    </w:p>
    <w:p w14:paraId="030CB033" w14:textId="1167BBD2"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practice most applications to admit further evidence are dealt with by consent. </w:t>
      </w:r>
      <w:r w:rsidRPr="00CA2C15">
        <w:rPr>
          <w:rFonts w:ascii="Calibri" w:eastAsia="Times New Roman" w:hAnsi="Calibri" w:cs="Calibri"/>
          <w:sz w:val="24"/>
          <w:szCs w:val="20"/>
          <w:lang w:val="en-GB"/>
        </w:rPr>
        <w:t>The</w:t>
      </w:r>
      <w:r w:rsidRPr="00CA2C15">
        <w:rPr>
          <w:rFonts w:ascii="Calibri" w:eastAsia="Arial" w:hAnsi="Calibri" w:cs="Calibri"/>
          <w:color w:val="000000"/>
          <w:sz w:val="24"/>
          <w:szCs w:val="24"/>
        </w:rPr>
        <w:t xml:space="preserve"> parties will often provide the court with evidence bringing the facts up to date at </w:t>
      </w:r>
      <w:r w:rsidRPr="00CA2C15">
        <w:rPr>
          <w:rFonts w:ascii="Calibri" w:eastAsia="Arial" w:hAnsi="Calibri" w:cs="Calibri"/>
          <w:iCs/>
          <w:color w:val="000000"/>
          <w:sz w:val="24"/>
          <w:szCs w:val="24"/>
        </w:rPr>
        <w:t>the</w:t>
      </w:r>
      <w:r w:rsidRPr="00CA2C15">
        <w:rPr>
          <w:rFonts w:ascii="Calibri" w:eastAsia="Arial" w:hAnsi="Calibri" w:cs="Calibri"/>
          <w:color w:val="000000"/>
          <w:sz w:val="24"/>
          <w:szCs w:val="24"/>
        </w:rPr>
        <w:t xml:space="preserve"> time of the hearing. They may</w:t>
      </w:r>
      <w:r w:rsidR="00383AFC" w:rsidRPr="00CA2C15">
        <w:rPr>
          <w:rFonts w:ascii="Calibri" w:eastAsia="Arial" w:hAnsi="Calibri" w:cs="Calibri"/>
          <w:color w:val="000000"/>
          <w:sz w:val="24"/>
          <w:szCs w:val="24"/>
        </w:rPr>
        <w:t xml:space="preserve"> also</w:t>
      </w:r>
      <w:r w:rsidRPr="00CA2C15">
        <w:rPr>
          <w:rFonts w:ascii="Calibri" w:eastAsia="Arial" w:hAnsi="Calibri" w:cs="Calibri"/>
          <w:color w:val="000000"/>
          <w:sz w:val="24"/>
          <w:szCs w:val="24"/>
        </w:rPr>
        <w:t xml:space="preserve"> be under a duty to do so to comply with the duty of candour.</w:t>
      </w:r>
    </w:p>
    <w:p w14:paraId="18D0574B" w14:textId="1D94AF2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It may be necessary to change the focus of the </w:t>
      </w:r>
      <w:r w:rsidR="00383AFC"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laimant’s case following receipt of </w:t>
      </w:r>
      <w:r w:rsidRPr="00CA2C15">
        <w:rPr>
          <w:rFonts w:ascii="Calibri" w:eastAsia="Times New Roman" w:hAnsi="Calibri" w:cs="Calibri"/>
          <w:sz w:val="24"/>
          <w:szCs w:val="20"/>
          <w:lang w:val="en-GB"/>
        </w:rPr>
        <w:t>the</w:t>
      </w:r>
      <w:r w:rsidRPr="00CA2C15">
        <w:rPr>
          <w:rFonts w:ascii="Calibri" w:eastAsia="Arial" w:hAnsi="Calibri" w:cs="Calibri"/>
          <w:color w:val="000000"/>
          <w:sz w:val="24"/>
          <w:szCs w:val="24"/>
        </w:rPr>
        <w:t xml:space="preserve"> </w:t>
      </w:r>
      <w:r w:rsidR="00383AFC" w:rsidRPr="00CA2C15">
        <w:rPr>
          <w:rFonts w:ascii="Calibri" w:eastAsia="Arial" w:hAnsi="Calibri" w:cs="Calibri"/>
          <w:iCs/>
          <w:color w:val="000000"/>
          <w:sz w:val="24"/>
          <w:szCs w:val="24"/>
        </w:rPr>
        <w:t>d</w:t>
      </w:r>
      <w:r w:rsidRPr="00CA2C15">
        <w:rPr>
          <w:rFonts w:ascii="Calibri" w:eastAsia="Arial" w:hAnsi="Calibri" w:cs="Calibri"/>
          <w:iCs/>
          <w:color w:val="000000"/>
          <w:sz w:val="24"/>
          <w:szCs w:val="24"/>
        </w:rPr>
        <w:t xml:space="preserve">efendant’s </w:t>
      </w:r>
      <w:r w:rsidRPr="00CA2C15">
        <w:rPr>
          <w:rFonts w:ascii="Calibri" w:eastAsia="Arial" w:hAnsi="Calibri" w:cs="Calibri"/>
          <w:color w:val="000000"/>
          <w:sz w:val="24"/>
          <w:szCs w:val="24"/>
        </w:rPr>
        <w:t>evidence or subsequently as the case develops (for example where a decision or further decision is made in an immigration case).</w:t>
      </w:r>
    </w:p>
    <w:p w14:paraId="0BB185A9" w14:textId="6C1025D6"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the </w:t>
      </w:r>
      <w:r w:rsidR="00383AFC"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wishes to rely on grounds other than those for which </w:t>
      </w:r>
      <w:r w:rsidRPr="00CA2C15">
        <w:rPr>
          <w:rFonts w:ascii="Calibri" w:eastAsia="Times New Roman" w:hAnsi="Calibri" w:cs="Calibri"/>
          <w:sz w:val="24"/>
          <w:szCs w:val="20"/>
          <w:lang w:val="en-GB"/>
        </w:rPr>
        <w:t>permission</w:t>
      </w:r>
      <w:r w:rsidRPr="00CA2C15">
        <w:rPr>
          <w:rFonts w:ascii="Calibri" w:eastAsia="Arial" w:hAnsi="Calibri" w:cs="Calibri"/>
          <w:color w:val="000000"/>
          <w:sz w:val="24"/>
          <w:szCs w:val="24"/>
        </w:rPr>
        <w:t xml:space="preserve"> was granted then they require permission and must apply promptly</w:t>
      </w:r>
      <w:r w:rsidR="00BB1DEA" w:rsidRPr="00CA2C15">
        <w:rPr>
          <w:rFonts w:ascii="Calibri" w:eastAsia="Arial" w:hAnsi="Calibri" w:cs="Calibri"/>
          <w:color w:val="000000"/>
          <w:sz w:val="24"/>
          <w:szCs w:val="24"/>
        </w:rPr>
        <w:t xml:space="preserve"> (CPR 54.15 and PD 54A para 1</w:t>
      </w:r>
      <w:r w:rsidR="004655D6" w:rsidRPr="00CA2C15">
        <w:rPr>
          <w:rFonts w:ascii="Calibri" w:eastAsia="Arial" w:hAnsi="Calibri" w:cs="Calibri"/>
          <w:color w:val="000000"/>
          <w:sz w:val="24"/>
          <w:szCs w:val="24"/>
        </w:rPr>
        <w:t>2</w:t>
      </w:r>
      <w:r w:rsidR="00BB1DEA" w:rsidRPr="00CA2C15">
        <w:rPr>
          <w:rFonts w:ascii="Calibri" w:eastAsia="Arial" w:hAnsi="Calibri" w:cs="Calibri"/>
          <w:color w:val="000000"/>
          <w:sz w:val="24"/>
          <w:szCs w:val="24"/>
        </w:rPr>
        <w:t>)</w:t>
      </w:r>
      <w:r w:rsidRPr="00CA2C15">
        <w:rPr>
          <w:rFonts w:ascii="Calibri" w:eastAsia="Arial" w:hAnsi="Calibri" w:cs="Calibri"/>
          <w:color w:val="000000"/>
          <w:sz w:val="24"/>
          <w:szCs w:val="24"/>
        </w:rPr>
        <w:t>.</w:t>
      </w:r>
    </w:p>
    <w:p w14:paraId="38265239" w14:textId="35457081" w:rsidR="004879C1"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the change is significant (especially if there has been a fresh decision or failure to deal with new material) then an amendment to the claim form is likely to be necessary and an application should be made promptly including a draft of the amendments (Munby J in </w:t>
      </w:r>
      <w:r w:rsidRPr="00CA2C15">
        <w:rPr>
          <w:rFonts w:ascii="Calibri" w:eastAsia="Arial" w:hAnsi="Calibri" w:cs="Calibri"/>
          <w:i/>
          <w:iCs/>
          <w:color w:val="000000"/>
          <w:sz w:val="24"/>
          <w:szCs w:val="24"/>
        </w:rPr>
        <w:t xml:space="preserve">R (P, W, F and G) v. Essex County  Council </w:t>
      </w:r>
      <w:r w:rsidRPr="00CA2C15">
        <w:rPr>
          <w:rFonts w:ascii="Calibri" w:eastAsia="Arial" w:hAnsi="Calibri" w:cs="Calibri"/>
          <w:color w:val="000000"/>
          <w:sz w:val="24"/>
          <w:szCs w:val="24"/>
        </w:rPr>
        <w:t xml:space="preserve">[2004] EWHC 2027 (Admin), </w:t>
      </w:r>
      <w:r w:rsidRPr="00CA2C15">
        <w:rPr>
          <w:rFonts w:ascii="Calibri" w:eastAsia="Arial" w:hAnsi="Calibri" w:cs="Calibri"/>
          <w:i/>
          <w:iCs/>
          <w:color w:val="000000"/>
          <w:sz w:val="24"/>
          <w:szCs w:val="24"/>
        </w:rPr>
        <w:t>R (MB) v. Lambeth BC</w:t>
      </w:r>
      <w:r w:rsidRPr="00CA2C15">
        <w:rPr>
          <w:rFonts w:ascii="Calibri" w:eastAsia="Arial" w:hAnsi="Calibri" w:cs="Calibri"/>
          <w:color w:val="000000"/>
          <w:sz w:val="24"/>
          <w:szCs w:val="24"/>
        </w:rPr>
        <w:t xml:space="preserve"> [2006] EWHC 639, </w:t>
      </w:r>
      <w:r w:rsidRPr="00CA2C15">
        <w:rPr>
          <w:rFonts w:ascii="Calibri" w:eastAsia="Arial" w:hAnsi="Calibri" w:cs="Calibri"/>
          <w:i/>
          <w:iCs/>
          <w:color w:val="000000"/>
          <w:sz w:val="24"/>
          <w:szCs w:val="24"/>
        </w:rPr>
        <w:t>R (F) v Wirral BC</w:t>
      </w:r>
      <w:r w:rsidRPr="00CA2C15">
        <w:rPr>
          <w:rFonts w:ascii="Calibri" w:eastAsia="Arial" w:hAnsi="Calibri" w:cs="Calibri"/>
          <w:color w:val="000000"/>
          <w:sz w:val="24"/>
          <w:szCs w:val="24"/>
        </w:rPr>
        <w:t xml:space="preserve"> [2009] EWHC 1626. At para 35 of the Essex case Munby J said:</w:t>
      </w:r>
    </w:p>
    <w:p w14:paraId="1394CD49" w14:textId="60C31C6C" w:rsidR="00B935ED" w:rsidRPr="00CA2C15" w:rsidRDefault="00B935ED" w:rsidP="004879C1">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rPr>
      </w:pPr>
      <w:r w:rsidRPr="00CA2C15">
        <w:rPr>
          <w:rFonts w:ascii="Calibri" w:eastAsia="Arial" w:hAnsi="Calibri" w:cs="Calibri"/>
          <w:i/>
          <w:color w:val="000000"/>
        </w:rPr>
        <w:t>“Where a Claimant seeks to make a case sufficiently different from that set out in his Form N461 as to require an amendment to the Form N461 then it seems to me that it is incumbent on him (a) to seek permission to amend his N461, (b) to give notice of his wish to amend at the earliest possible moment and in any event no later than 7 clear days before the hearing and (c) to formulate the new or additional case he wishes to make in a properly drafted document setting out, in the manner and with the detail required by CPR Part 54.6 and by Form N461, the precise amendments for which he is seeking permission."</w:t>
      </w:r>
    </w:p>
    <w:p w14:paraId="4E941A39" w14:textId="7777777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w:t>
      </w:r>
      <w:r w:rsidRPr="00CA2C15">
        <w:rPr>
          <w:rFonts w:ascii="Calibri" w:eastAsia="Arial" w:hAnsi="Calibri" w:cs="Calibri"/>
          <w:i/>
          <w:iCs/>
          <w:color w:val="000000"/>
          <w:sz w:val="24"/>
          <w:szCs w:val="24"/>
        </w:rPr>
        <w:t>R (Messaoud) v. SSHD</w:t>
      </w:r>
      <w:r w:rsidRPr="00CA2C15">
        <w:rPr>
          <w:rFonts w:ascii="Calibri" w:eastAsia="Arial" w:hAnsi="Calibri" w:cs="Calibri"/>
          <w:color w:val="000000"/>
          <w:sz w:val="24"/>
          <w:szCs w:val="24"/>
        </w:rPr>
        <w:t xml:space="preserve">, 17 Jul 2013, Phillip Mott QC suggests that a critical </w:t>
      </w:r>
      <w:r w:rsidRPr="00CA2C15">
        <w:rPr>
          <w:rFonts w:ascii="Calibri" w:eastAsia="Times New Roman" w:hAnsi="Calibri" w:cs="Calibri"/>
          <w:sz w:val="24"/>
          <w:szCs w:val="20"/>
          <w:lang w:val="en-GB"/>
        </w:rPr>
        <w:t>question</w:t>
      </w:r>
      <w:r w:rsidRPr="00CA2C15">
        <w:rPr>
          <w:rFonts w:ascii="Calibri" w:eastAsia="Arial" w:hAnsi="Calibri" w:cs="Calibri"/>
          <w:color w:val="000000"/>
          <w:sz w:val="24"/>
          <w:szCs w:val="24"/>
        </w:rPr>
        <w:t xml:space="preserve"> may be whether the additional grounds were so different that the </w:t>
      </w:r>
      <w:r w:rsidRPr="00CA2C15">
        <w:rPr>
          <w:rFonts w:ascii="Calibri" w:eastAsia="Arial" w:hAnsi="Calibri" w:cs="Calibri"/>
          <w:iCs/>
          <w:color w:val="000000"/>
          <w:sz w:val="24"/>
          <w:szCs w:val="24"/>
        </w:rPr>
        <w:t>original</w:t>
      </w:r>
      <w:r w:rsidRPr="00CA2C15">
        <w:rPr>
          <w:rFonts w:ascii="Calibri" w:eastAsia="Arial" w:hAnsi="Calibri" w:cs="Calibri"/>
          <w:color w:val="000000"/>
          <w:sz w:val="24"/>
          <w:szCs w:val="24"/>
        </w:rPr>
        <w:t xml:space="preserve"> grant of permission does not apply to them.</w:t>
      </w:r>
    </w:p>
    <w:p w14:paraId="22BED919" w14:textId="53DE3D8C"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But see </w:t>
      </w:r>
      <w:r w:rsidRPr="00CA2C15">
        <w:rPr>
          <w:rFonts w:ascii="Calibri" w:eastAsia="Arial" w:hAnsi="Calibri" w:cs="Calibri"/>
          <w:i/>
          <w:iCs/>
          <w:color w:val="000000"/>
          <w:sz w:val="24"/>
          <w:szCs w:val="24"/>
        </w:rPr>
        <w:t>R (Bhatti) v. Bury MBC</w:t>
      </w:r>
      <w:r w:rsidRPr="00CA2C15">
        <w:rPr>
          <w:rFonts w:ascii="Calibri" w:eastAsia="Arial" w:hAnsi="Calibri" w:cs="Calibri"/>
          <w:color w:val="000000"/>
          <w:sz w:val="24"/>
          <w:szCs w:val="24"/>
        </w:rPr>
        <w:t xml:space="preserve"> [2013] EWHC 3093 (Admin) for a discussion of the circumstances in which a challenge to a fresh decision can be included in the original claim form at all. This is permitted if the new decision is in response to evidence filed by the </w:t>
      </w:r>
      <w:r w:rsidR="00BB23A5"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and to the same effect (applying </w:t>
      </w:r>
      <w:r w:rsidRPr="00CA2C15">
        <w:rPr>
          <w:rFonts w:ascii="Calibri" w:eastAsia="Arial" w:hAnsi="Calibri" w:cs="Calibri"/>
          <w:i/>
          <w:iCs/>
          <w:color w:val="000000"/>
          <w:sz w:val="24"/>
          <w:szCs w:val="24"/>
        </w:rPr>
        <w:t xml:space="preserve">R v. SSHD, ex p. Turgut </w:t>
      </w:r>
      <w:r w:rsidRPr="00CA2C15">
        <w:rPr>
          <w:rFonts w:ascii="Calibri" w:eastAsia="Arial" w:hAnsi="Calibri" w:cs="Calibri"/>
          <w:color w:val="000000"/>
          <w:sz w:val="24"/>
          <w:szCs w:val="24"/>
        </w:rPr>
        <w:t xml:space="preserve">[2001] 1 All ER 719) but not where the </w:t>
      </w:r>
      <w:r w:rsidR="00BB23A5"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has withdrawn the original decision and embarked on entirely different decision making (Bhatti at para 17).</w:t>
      </w:r>
    </w:p>
    <w:p w14:paraId="2A5A0740" w14:textId="3BD747F8" w:rsidR="00B935ED" w:rsidRPr="00CA2C15" w:rsidRDefault="00B935ED" w:rsidP="00B96C59">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Also see </w:t>
      </w:r>
      <w:r w:rsidRPr="00CA2C15">
        <w:rPr>
          <w:rFonts w:ascii="Calibri" w:eastAsia="Arial" w:hAnsi="Calibri" w:cs="Calibri"/>
          <w:i/>
          <w:iCs/>
          <w:color w:val="000000"/>
          <w:sz w:val="24"/>
          <w:szCs w:val="24"/>
        </w:rPr>
        <w:t>R (Dalton) v. CPS</w:t>
      </w:r>
      <w:r w:rsidRPr="00CA2C15">
        <w:rPr>
          <w:rFonts w:ascii="Calibri" w:eastAsia="Arial" w:hAnsi="Calibri" w:cs="Calibri"/>
          <w:color w:val="000000"/>
          <w:sz w:val="24"/>
          <w:szCs w:val="24"/>
        </w:rPr>
        <w:t xml:space="preserve"> [2020] EWHC 2013 (Admin): </w:t>
      </w:r>
    </w:p>
    <w:p w14:paraId="207A248F" w14:textId="77777777" w:rsidR="001169B8" w:rsidRPr="00CA2C15" w:rsidRDefault="001169B8" w:rsidP="00FE0AEE">
      <w:pPr>
        <w:spacing w:after="240" w:line="360" w:lineRule="auto"/>
        <w:ind w:left="1440"/>
        <w:jc w:val="both"/>
        <w:rPr>
          <w:rFonts w:ascii="Calibri" w:eastAsia="Arial" w:hAnsi="Calibri" w:cs="Calibri"/>
          <w:color w:val="000000"/>
        </w:rPr>
      </w:pPr>
      <w:r w:rsidRPr="00CA2C15">
        <w:rPr>
          <w:rFonts w:ascii="Calibri" w:eastAsia="Arial" w:hAnsi="Calibri" w:cs="Calibri"/>
          <w:color w:val="000000"/>
        </w:rPr>
        <w:t>9.2.5. If the defendant has made a new decision which the claimant seeks to challenge, it may in some circumstances be more convenient for the Court to permit parties to amend the claim to allow a challenge to the new decision. Where permission is granted to amend the claim after permission to apply for judicial review has been granted, the parties should ensure that the substantive hearing bundle only includes relevant documentation. Any documentation that is only relevant to the initial decision should not form part of the bundle. The claimant should note the following guidance (as observed at paragraph 22 of R (Hussain) v Secretary of State for Justice [2016] EWCA Civ 1111):</w:t>
      </w:r>
    </w:p>
    <w:p w14:paraId="4E18603D" w14:textId="77777777" w:rsidR="001169B8" w:rsidRPr="00CA2C15" w:rsidRDefault="001169B8" w:rsidP="00FE0AEE">
      <w:pPr>
        <w:spacing w:after="240" w:line="360" w:lineRule="auto"/>
        <w:ind w:left="2160"/>
        <w:jc w:val="both"/>
        <w:rPr>
          <w:rFonts w:ascii="Calibri" w:eastAsia="Arial" w:hAnsi="Calibri" w:cs="Calibri"/>
          <w:color w:val="000000"/>
        </w:rPr>
      </w:pPr>
      <w:r w:rsidRPr="00CA2C15">
        <w:rPr>
          <w:rFonts w:ascii="Calibri" w:eastAsia="Arial" w:hAnsi="Calibri" w:cs="Calibri"/>
          <w:color w:val="000000"/>
        </w:rPr>
        <w:t>9.2.5.1. The Court retains discretion to permit amendments and may make an assessment that overall the proper conduct of proceedings will best be promoted by refusing permission to amend and requiring a fresh claim to be brought.</w:t>
      </w:r>
    </w:p>
    <w:p w14:paraId="1830D2D7" w14:textId="77777777" w:rsidR="001169B8" w:rsidRPr="00CA2C15" w:rsidRDefault="001169B8" w:rsidP="00FE0AEE">
      <w:pPr>
        <w:spacing w:after="240" w:line="360" w:lineRule="auto"/>
        <w:ind w:left="2160"/>
        <w:jc w:val="both"/>
        <w:rPr>
          <w:rFonts w:ascii="Calibri" w:eastAsia="Arial" w:hAnsi="Calibri" w:cs="Calibri"/>
          <w:color w:val="000000"/>
        </w:rPr>
      </w:pPr>
      <w:r w:rsidRPr="00CA2C15">
        <w:rPr>
          <w:rFonts w:ascii="Calibri" w:eastAsia="Arial" w:hAnsi="Calibri" w:cs="Calibri"/>
          <w:color w:val="000000"/>
        </w:rPr>
        <w:t>9.2.5.2. The Court will be astute to check that a claimant is not seeking to avoid complying with any time limits by seeking to amend rather than commence a fresh claim.</w:t>
      </w:r>
    </w:p>
    <w:p w14:paraId="337CFE62" w14:textId="24153954" w:rsidR="00B96C59" w:rsidRPr="00CA2C15" w:rsidRDefault="001169B8" w:rsidP="00FE0AEE">
      <w:pPr>
        <w:spacing w:after="240" w:line="360" w:lineRule="auto"/>
        <w:ind w:left="2160"/>
        <w:jc w:val="both"/>
        <w:rPr>
          <w:rFonts w:ascii="Calibri" w:eastAsia="Arial" w:hAnsi="Calibri" w:cs="Calibri"/>
          <w:color w:val="000000"/>
        </w:rPr>
      </w:pPr>
      <w:r w:rsidRPr="00CA2C15">
        <w:rPr>
          <w:rFonts w:ascii="Calibri" w:eastAsia="Arial" w:hAnsi="Calibri" w:cs="Calibri"/>
          <w:color w:val="000000"/>
        </w:rPr>
        <w:t>9.2.5.3. A claimant seeking permission to amend would also be expected to have given proper notice to all relevant persons, including interested parties.</w:t>
      </w:r>
    </w:p>
    <w:p w14:paraId="7B57EBD0" w14:textId="77777777" w:rsidR="00385D27"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b/>
          <w:color w:val="000000"/>
          <w:spacing w:val="-1"/>
          <w:sz w:val="24"/>
          <w:szCs w:val="24"/>
        </w:rPr>
      </w:pPr>
      <w:r w:rsidRPr="00CA2C15">
        <w:rPr>
          <w:rFonts w:ascii="Calibri" w:eastAsia="Arial" w:hAnsi="Calibri" w:cs="Calibri"/>
          <w:color w:val="000000"/>
          <w:sz w:val="24"/>
          <w:szCs w:val="24"/>
        </w:rPr>
        <w:t xml:space="preserve">It should also be noted that where a party no longer pursues a ground of claim, the court expects the party to make this clear to the court and the other parties, </w:t>
      </w:r>
      <w:r w:rsidRPr="00CA2C15">
        <w:rPr>
          <w:rFonts w:ascii="Calibri" w:eastAsia="Arial" w:hAnsi="Calibri" w:cs="Calibri"/>
          <w:iCs/>
          <w:color w:val="000000"/>
          <w:sz w:val="24"/>
          <w:szCs w:val="24"/>
        </w:rPr>
        <w:t xml:space="preserve">rather </w:t>
      </w:r>
      <w:r w:rsidRPr="00CA2C15">
        <w:rPr>
          <w:rFonts w:ascii="Calibri" w:eastAsia="Arial" w:hAnsi="Calibri" w:cs="Calibri"/>
          <w:color w:val="000000"/>
          <w:sz w:val="24"/>
          <w:szCs w:val="24"/>
        </w:rPr>
        <w:t xml:space="preserve">than </w:t>
      </w:r>
      <w:r w:rsidRPr="00CA2C15">
        <w:rPr>
          <w:rFonts w:ascii="Calibri" w:eastAsia="Times New Roman" w:hAnsi="Calibri" w:cs="Calibri"/>
          <w:sz w:val="24"/>
          <w:szCs w:val="20"/>
          <w:lang w:val="en-GB"/>
        </w:rPr>
        <w:t>remaining</w:t>
      </w:r>
      <w:r w:rsidRPr="00CA2C15">
        <w:rPr>
          <w:rFonts w:ascii="Calibri" w:eastAsia="Arial" w:hAnsi="Calibri" w:cs="Calibri"/>
          <w:color w:val="000000"/>
          <w:sz w:val="24"/>
          <w:szCs w:val="24"/>
        </w:rPr>
        <w:t xml:space="preserve"> silent about it and expecting the court and parties to infer from that silence that the ground is no longer pursued e.g. by not referring to it in the skeleton argument.</w:t>
      </w:r>
    </w:p>
    <w:p w14:paraId="24A6568A" w14:textId="21169B7E" w:rsidR="00B935ED" w:rsidRPr="00CA2C15" w:rsidRDefault="00B935ED" w:rsidP="00385D27">
      <w:pPr>
        <w:spacing w:after="240" w:line="360" w:lineRule="auto"/>
        <w:ind w:left="720"/>
        <w:jc w:val="both"/>
        <w:textAlignment w:val="baseline"/>
        <w:rPr>
          <w:rFonts w:ascii="Calibri" w:eastAsia="Arial" w:hAnsi="Calibri" w:cs="Calibri"/>
          <w:b/>
          <w:color w:val="000000"/>
          <w:spacing w:val="-1"/>
          <w:sz w:val="24"/>
          <w:szCs w:val="24"/>
        </w:rPr>
      </w:pPr>
      <w:r w:rsidRPr="00CA2C15">
        <w:rPr>
          <w:rFonts w:ascii="Calibri" w:eastAsia="Arial" w:hAnsi="Calibri" w:cs="Calibri"/>
          <w:b/>
          <w:color w:val="000000"/>
          <w:spacing w:val="-1"/>
          <w:sz w:val="24"/>
          <w:szCs w:val="24"/>
        </w:rPr>
        <w:t>Disclosure</w:t>
      </w:r>
    </w:p>
    <w:p w14:paraId="1D8CE060" w14:textId="040EAAEE"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iCs/>
          <w:color w:val="000000"/>
          <w:sz w:val="24"/>
          <w:szCs w:val="24"/>
        </w:rPr>
        <w:t xml:space="preserve">CPR </w:t>
      </w:r>
      <w:r w:rsidRPr="00CA2C15">
        <w:rPr>
          <w:rFonts w:ascii="Calibri" w:eastAsia="Arial" w:hAnsi="Calibri" w:cs="Calibri"/>
          <w:color w:val="000000"/>
          <w:sz w:val="24"/>
          <w:szCs w:val="24"/>
        </w:rPr>
        <w:t xml:space="preserve">Part 31 (disclosure) applies to all proceedings except for those on the small claims </w:t>
      </w:r>
      <w:r w:rsidRPr="00CA2C15">
        <w:rPr>
          <w:rFonts w:ascii="Calibri" w:eastAsia="Times New Roman" w:hAnsi="Calibri" w:cs="Calibri"/>
          <w:sz w:val="24"/>
          <w:szCs w:val="20"/>
          <w:lang w:val="en-GB"/>
        </w:rPr>
        <w:t>track</w:t>
      </w:r>
      <w:r w:rsidRPr="00CA2C15">
        <w:rPr>
          <w:rFonts w:ascii="Calibri" w:eastAsia="Arial" w:hAnsi="Calibri" w:cs="Calibri"/>
          <w:color w:val="000000"/>
          <w:sz w:val="24"/>
          <w:szCs w:val="24"/>
        </w:rPr>
        <w:t xml:space="preserve"> but</w:t>
      </w:r>
      <w:r w:rsidR="00E13CA5"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CPR PD 54A para 1</w:t>
      </w:r>
      <w:r w:rsidR="009021CF" w:rsidRPr="00CA2C15">
        <w:rPr>
          <w:rFonts w:ascii="Calibri" w:eastAsia="Arial" w:hAnsi="Calibri" w:cs="Calibri"/>
          <w:color w:val="000000"/>
          <w:sz w:val="24"/>
          <w:szCs w:val="24"/>
        </w:rPr>
        <w:t>1</w:t>
      </w:r>
      <w:r w:rsidRPr="00CA2C15">
        <w:rPr>
          <w:rFonts w:ascii="Calibri" w:eastAsia="Arial" w:hAnsi="Calibri" w:cs="Calibri"/>
          <w:color w:val="000000"/>
          <w:sz w:val="24"/>
          <w:szCs w:val="24"/>
        </w:rPr>
        <w:t>.2 states that in judicial review claims disclosure is “not required unless the</w:t>
      </w:r>
      <w:r w:rsidR="00E13CA5" w:rsidRPr="00CA2C15">
        <w:rPr>
          <w:rFonts w:ascii="Calibri" w:eastAsia="Arial" w:hAnsi="Calibri" w:cs="Calibri"/>
          <w:color w:val="000000"/>
          <w:sz w:val="24"/>
          <w:szCs w:val="24"/>
        </w:rPr>
        <w:t xml:space="preserve"> </w:t>
      </w:r>
      <w:r w:rsidRPr="00CA2C15">
        <w:rPr>
          <w:rFonts w:ascii="Calibri" w:eastAsia="Arial" w:hAnsi="Calibri" w:cs="Calibri"/>
          <w:color w:val="000000"/>
          <w:spacing w:val="-1"/>
          <w:sz w:val="24"/>
          <w:szCs w:val="24"/>
        </w:rPr>
        <w:t>court orders otherwise”.</w:t>
      </w:r>
    </w:p>
    <w:p w14:paraId="40888782" w14:textId="42886533"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Formerly very restrictive criteria applied derived from </w:t>
      </w:r>
      <w:r w:rsidRPr="00CA2C15">
        <w:rPr>
          <w:rFonts w:ascii="Calibri" w:eastAsia="Arial" w:hAnsi="Calibri" w:cs="Calibri"/>
          <w:i/>
          <w:iCs/>
          <w:color w:val="000000"/>
          <w:sz w:val="24"/>
          <w:szCs w:val="24"/>
          <w:u w:val="single"/>
        </w:rPr>
        <w:t xml:space="preserve">R v. SSFCA, ex p. World </w:t>
      </w:r>
      <w:r w:rsidR="000E20E1" w:rsidRPr="00CA2C15">
        <w:rPr>
          <w:rFonts w:ascii="Calibri" w:eastAsia="Arial" w:hAnsi="Calibri" w:cs="Calibri"/>
          <w:i/>
          <w:iCs/>
          <w:color w:val="000000"/>
          <w:sz w:val="24"/>
          <w:szCs w:val="24"/>
          <w:u w:val="single"/>
        </w:rPr>
        <w:t>Development Movement</w:t>
      </w:r>
      <w:r w:rsidRPr="00CA2C15">
        <w:rPr>
          <w:rFonts w:ascii="Calibri" w:eastAsia="Arial" w:hAnsi="Calibri" w:cs="Calibri"/>
          <w:color w:val="000000"/>
          <w:sz w:val="24"/>
          <w:szCs w:val="24"/>
        </w:rPr>
        <w:t xml:space="preserve"> [1995] 1 WLR 386. Disclosure would generally be ordered </w:t>
      </w:r>
      <w:r w:rsidRPr="00CA2C15">
        <w:rPr>
          <w:rFonts w:ascii="Calibri" w:eastAsia="Times New Roman" w:hAnsi="Calibri" w:cs="Calibri"/>
          <w:sz w:val="24"/>
          <w:szCs w:val="20"/>
          <w:lang w:val="en-GB"/>
        </w:rPr>
        <w:t>only</w:t>
      </w:r>
      <w:r w:rsidRPr="00CA2C15">
        <w:rPr>
          <w:rFonts w:ascii="Calibri" w:eastAsia="Arial" w:hAnsi="Calibri" w:cs="Calibri"/>
          <w:color w:val="000000"/>
          <w:sz w:val="24"/>
          <w:szCs w:val="24"/>
        </w:rPr>
        <w:t xml:space="preserve"> where the </w:t>
      </w:r>
      <w:r w:rsidR="007F0576"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efendant’s evidence could be shown to be materially inaccurate or misleading.</w:t>
      </w:r>
    </w:p>
    <w:p w14:paraId="616940F5" w14:textId="77777777" w:rsidR="00D5027E"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This is no longer the case. The rules were substantially relaxed by the </w:t>
      </w:r>
      <w:r w:rsidRPr="00CA2C15">
        <w:rPr>
          <w:rFonts w:ascii="Calibri" w:eastAsia="Arial" w:hAnsi="Calibri" w:cs="Calibri"/>
          <w:i/>
          <w:iCs/>
          <w:color w:val="000000"/>
          <w:sz w:val="24"/>
          <w:szCs w:val="24"/>
        </w:rPr>
        <w:t xml:space="preserve">House of Lords in Tweed v. Parades Commission of Northern Ireland </w:t>
      </w:r>
      <w:r w:rsidRPr="00CA2C15">
        <w:rPr>
          <w:rFonts w:ascii="Calibri" w:eastAsia="Arial" w:hAnsi="Calibri" w:cs="Calibri"/>
          <w:color w:val="000000"/>
          <w:sz w:val="24"/>
          <w:szCs w:val="24"/>
        </w:rPr>
        <w:t>[2007] 1 AC 650</w:t>
      </w:r>
      <w:r w:rsidR="00D5027E" w:rsidRPr="00CA2C15">
        <w:rPr>
          <w:rFonts w:ascii="Calibri" w:eastAsia="Arial" w:hAnsi="Calibri" w:cs="Calibri"/>
          <w:color w:val="000000"/>
          <w:sz w:val="24"/>
          <w:szCs w:val="24"/>
        </w:rPr>
        <w:t>:</w:t>
      </w:r>
    </w:p>
    <w:p w14:paraId="747CA47F" w14:textId="1986BF65" w:rsidR="00B935ED" w:rsidRPr="00CA2C15" w:rsidRDefault="00B935ED" w:rsidP="00D5027E">
      <w:pPr>
        <w:spacing w:after="240" w:line="360" w:lineRule="auto"/>
        <w:ind w:left="1440"/>
        <w:jc w:val="both"/>
        <w:rPr>
          <w:rFonts w:ascii="Calibri" w:eastAsia="Arial" w:hAnsi="Calibri" w:cs="Calibri"/>
          <w:color w:val="000000"/>
          <w:sz w:val="24"/>
          <w:szCs w:val="24"/>
        </w:rPr>
      </w:pPr>
      <w:r w:rsidRPr="00CA2C15">
        <w:rPr>
          <w:rFonts w:ascii="Calibri" w:eastAsia="Arial" w:hAnsi="Calibri" w:cs="Calibri"/>
          <w:i/>
          <w:color w:val="000000"/>
          <w:sz w:val="24"/>
          <w:szCs w:val="24"/>
        </w:rPr>
        <w:t>“it would now be desirable to substitute for the rules hitherto applied a more flexible and less prescriptive principle, which judges the need for disclosure in accordance with the requirements of the particular case, taking into account the facts and circumstances. It will not arise in most applications for judicial review, for they generally raise legal issues which do not call for disclosure of documents. For this reason the courts are correct in not ordering disclosure in the same routine manner as it is given in actions commenced by writ. Even in cases involving issues of proportionality disclosure should be carefully limited to the issues which require it in the interests of justice. This object will be assisted if parties seeking disclosure continue to follow the practice where possible of specifying the particular documents or classes of documents they require, as was done in the case before the House, rather than asking for an order for general disclosure.” – para 32 per Lord Carswell; see also Lord Brown at para 56.</w:t>
      </w:r>
    </w:p>
    <w:p w14:paraId="6CBF99CA" w14:textId="2AAEF511"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However, this does not mean that disclosure will be ordered as a matter of </w:t>
      </w:r>
      <w:r w:rsidRPr="00CA2C15">
        <w:rPr>
          <w:rFonts w:ascii="Calibri" w:eastAsia="Times New Roman" w:hAnsi="Calibri" w:cs="Calibri"/>
          <w:sz w:val="24"/>
          <w:szCs w:val="20"/>
          <w:lang w:val="en-GB"/>
        </w:rPr>
        <w:t>routine</w:t>
      </w:r>
      <w:r w:rsidRPr="00CA2C15">
        <w:rPr>
          <w:rFonts w:ascii="Calibri" w:eastAsia="Arial" w:hAnsi="Calibri" w:cs="Calibri"/>
          <w:color w:val="000000"/>
          <w:sz w:val="24"/>
          <w:szCs w:val="24"/>
        </w:rPr>
        <w:t xml:space="preserve">. </w:t>
      </w:r>
      <w:r w:rsidRPr="00CA2C15">
        <w:rPr>
          <w:rFonts w:ascii="Calibri" w:eastAsia="Arial" w:hAnsi="Calibri" w:cs="Calibri"/>
          <w:i/>
          <w:color w:val="000000"/>
          <w:sz w:val="24"/>
          <w:szCs w:val="24"/>
        </w:rPr>
        <w:t xml:space="preserve">“The test will </w:t>
      </w:r>
      <w:r w:rsidRPr="00CA2C15">
        <w:rPr>
          <w:rFonts w:ascii="Calibri" w:eastAsia="Arial" w:hAnsi="Calibri" w:cs="Calibri"/>
          <w:color w:val="000000"/>
          <w:sz w:val="24"/>
          <w:szCs w:val="24"/>
        </w:rPr>
        <w:t>always</w:t>
      </w:r>
      <w:r w:rsidRPr="00CA2C15">
        <w:rPr>
          <w:rFonts w:ascii="Calibri" w:eastAsia="Arial" w:hAnsi="Calibri" w:cs="Calibri"/>
          <w:i/>
          <w:color w:val="000000"/>
          <w:sz w:val="24"/>
          <w:szCs w:val="24"/>
        </w:rPr>
        <w:t xml:space="preserve"> be whether, in the given case, disclosure appears to be necessary in order to resolve the matter fairly and justly.”</w:t>
      </w:r>
      <w:r w:rsidR="001353B8" w:rsidRPr="00CA2C15">
        <w:rPr>
          <w:rFonts w:ascii="Calibri" w:eastAsia="Arial" w:hAnsi="Calibri" w:cs="Calibri"/>
          <w:i/>
          <w:color w:val="000000"/>
          <w:sz w:val="24"/>
          <w:szCs w:val="24"/>
        </w:rPr>
        <w:t xml:space="preserve"> (para 3 Lord Bingham).</w:t>
      </w:r>
      <w:r w:rsidRPr="00CA2C15">
        <w:rPr>
          <w:rFonts w:ascii="Calibri" w:eastAsia="Arial" w:hAnsi="Calibri" w:cs="Calibri"/>
          <w:i/>
          <w:color w:val="000000"/>
          <w:sz w:val="24"/>
          <w:szCs w:val="24"/>
        </w:rPr>
        <w:t xml:space="preserve"> </w:t>
      </w:r>
      <w:r w:rsidRPr="00CA2C15">
        <w:rPr>
          <w:rFonts w:ascii="Calibri" w:eastAsia="Arial" w:hAnsi="Calibri" w:cs="Calibri"/>
          <w:color w:val="000000"/>
          <w:sz w:val="24"/>
          <w:szCs w:val="24"/>
        </w:rPr>
        <w:t xml:space="preserve">Normally judicial review applications raise issues of law rather than fact and disclosure is unnecessary to resolve such issues; disclosure should be limited to the minority of cases where the “precise facts are significant” – Lord Bingham in </w:t>
      </w:r>
      <w:r w:rsidRPr="00CA2C15">
        <w:rPr>
          <w:rFonts w:ascii="Calibri" w:eastAsia="Arial" w:hAnsi="Calibri" w:cs="Calibri"/>
          <w:i/>
          <w:iCs/>
          <w:color w:val="000000"/>
          <w:sz w:val="24"/>
          <w:szCs w:val="24"/>
        </w:rPr>
        <w:t>Tweed</w:t>
      </w:r>
      <w:r w:rsidRPr="00CA2C15">
        <w:rPr>
          <w:rFonts w:ascii="Calibri" w:eastAsia="Arial" w:hAnsi="Calibri" w:cs="Calibri"/>
          <w:color w:val="000000"/>
          <w:sz w:val="24"/>
          <w:szCs w:val="24"/>
        </w:rPr>
        <w:t xml:space="preserve"> at paras 2-3. Lord Brown thought the impact would be simply that </w:t>
      </w:r>
      <w:r w:rsidRPr="00CA2C15">
        <w:rPr>
          <w:rFonts w:ascii="Calibri" w:eastAsia="Arial" w:hAnsi="Calibri" w:cs="Calibri"/>
          <w:i/>
          <w:color w:val="000000"/>
          <w:sz w:val="24"/>
          <w:szCs w:val="24"/>
        </w:rPr>
        <w:t xml:space="preserve">“the courts may be expected to show a somewhat greater readiness than hitherto to order disclosure of the main documents underlying proportionality decisions” </w:t>
      </w:r>
      <w:r w:rsidRPr="00CA2C15">
        <w:rPr>
          <w:rFonts w:ascii="Calibri" w:eastAsia="Arial" w:hAnsi="Calibri" w:cs="Calibri"/>
          <w:color w:val="000000"/>
          <w:sz w:val="24"/>
          <w:szCs w:val="24"/>
        </w:rPr>
        <w:t>and that orders for disclosure would remain exceptional (para 56).</w:t>
      </w:r>
    </w:p>
    <w:p w14:paraId="0D7BCBC1" w14:textId="7777777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courts will guard against </w:t>
      </w:r>
      <w:r w:rsidRPr="00CA2C15">
        <w:rPr>
          <w:rFonts w:ascii="Calibri" w:eastAsia="Arial" w:hAnsi="Calibri" w:cs="Calibri"/>
          <w:i/>
          <w:color w:val="000000"/>
          <w:sz w:val="24"/>
          <w:szCs w:val="24"/>
        </w:rPr>
        <w:t xml:space="preserve">“fishing expeditions,” </w:t>
      </w:r>
      <w:r w:rsidRPr="00CA2C15">
        <w:rPr>
          <w:rFonts w:ascii="Calibri" w:eastAsia="Arial" w:hAnsi="Calibri" w:cs="Calibri"/>
          <w:color w:val="000000"/>
          <w:sz w:val="24"/>
          <w:szCs w:val="24"/>
        </w:rPr>
        <w:t xml:space="preserve">i.e. disclosure applications with </w:t>
      </w:r>
      <w:r w:rsidRPr="00CA2C15">
        <w:rPr>
          <w:rFonts w:ascii="Calibri" w:eastAsia="Arial" w:hAnsi="Calibri" w:cs="Calibri"/>
          <w:i/>
          <w:color w:val="000000"/>
          <w:sz w:val="24"/>
          <w:szCs w:val="24"/>
        </w:rPr>
        <w:t xml:space="preserve">“no solid evidential basis” </w:t>
      </w:r>
      <w:r w:rsidRPr="00CA2C15">
        <w:rPr>
          <w:rFonts w:ascii="Calibri" w:eastAsia="Arial" w:hAnsi="Calibri" w:cs="Calibri"/>
          <w:color w:val="000000"/>
          <w:sz w:val="24"/>
          <w:szCs w:val="24"/>
        </w:rPr>
        <w:t xml:space="preserve">– </w:t>
      </w:r>
      <w:r w:rsidRPr="00CA2C15">
        <w:rPr>
          <w:rFonts w:ascii="Calibri" w:eastAsia="Arial" w:hAnsi="Calibri" w:cs="Calibri"/>
          <w:i/>
          <w:iCs/>
          <w:color w:val="000000"/>
          <w:sz w:val="24"/>
          <w:szCs w:val="24"/>
        </w:rPr>
        <w:t>R (Hoppr Entertainment Ltd) v. Office of Communications</w:t>
      </w:r>
      <w:r w:rsidRPr="00CA2C15">
        <w:rPr>
          <w:rFonts w:ascii="Calibri" w:eastAsia="Arial" w:hAnsi="Calibri" w:cs="Calibri"/>
          <w:color w:val="000000"/>
          <w:sz w:val="24"/>
          <w:szCs w:val="24"/>
        </w:rPr>
        <w:t xml:space="preserve"> [2011] EWHC 3693 (Admin), paras 19 and 21. In </w:t>
      </w:r>
      <w:r w:rsidRPr="00CA2C15">
        <w:rPr>
          <w:rFonts w:ascii="Calibri" w:eastAsia="Arial" w:hAnsi="Calibri" w:cs="Calibri"/>
          <w:i/>
          <w:iCs/>
          <w:color w:val="000000"/>
          <w:sz w:val="24"/>
          <w:szCs w:val="24"/>
        </w:rPr>
        <w:t>Ford v. FSA</w:t>
      </w:r>
      <w:r w:rsidRPr="00CA2C15">
        <w:rPr>
          <w:rFonts w:ascii="Calibri" w:eastAsia="Arial" w:hAnsi="Calibri" w:cs="Calibri"/>
          <w:color w:val="000000"/>
          <w:sz w:val="24"/>
          <w:szCs w:val="24"/>
        </w:rPr>
        <w:t xml:space="preserve"> [2012] EWHC 997 Burnett J refused disclosure of correspondence between the FSA and third parties about the use of confidential information because there was </w:t>
      </w:r>
      <w:r w:rsidRPr="00CA2C15">
        <w:rPr>
          <w:rFonts w:ascii="Calibri" w:eastAsia="Arial" w:hAnsi="Calibri" w:cs="Calibri"/>
          <w:i/>
          <w:color w:val="000000"/>
          <w:sz w:val="24"/>
          <w:szCs w:val="24"/>
        </w:rPr>
        <w:t>“no reason to suppose that anything is amiss”</w:t>
      </w:r>
      <w:r w:rsidRPr="00CA2C15">
        <w:rPr>
          <w:rFonts w:ascii="Calibri" w:eastAsia="Arial" w:hAnsi="Calibri" w:cs="Calibri"/>
          <w:color w:val="000000"/>
          <w:sz w:val="24"/>
          <w:szCs w:val="24"/>
        </w:rPr>
        <w:t xml:space="preserve">. Yet, </w:t>
      </w:r>
      <w:r w:rsidRPr="00CA2C15">
        <w:rPr>
          <w:rFonts w:ascii="Calibri" w:eastAsia="Arial" w:hAnsi="Calibri" w:cs="Calibri"/>
          <w:i/>
          <w:color w:val="000000"/>
          <w:sz w:val="24"/>
          <w:szCs w:val="24"/>
        </w:rPr>
        <w:t xml:space="preserve">“there is – of course – a very high duty on public respondents ... to assist the court with full and accurate explanations of all the facts relevant to the issue the court must decide” </w:t>
      </w:r>
      <w:r w:rsidRPr="00CA2C15">
        <w:rPr>
          <w:rFonts w:ascii="Calibri" w:eastAsia="Arial" w:hAnsi="Calibri" w:cs="Calibri"/>
          <w:color w:val="000000"/>
          <w:sz w:val="24"/>
          <w:szCs w:val="24"/>
        </w:rPr>
        <w:t xml:space="preserve">– </w:t>
      </w:r>
      <w:r w:rsidRPr="00CA2C15">
        <w:rPr>
          <w:rFonts w:ascii="Calibri" w:eastAsia="Arial" w:hAnsi="Calibri" w:cs="Calibri"/>
          <w:i/>
          <w:iCs/>
          <w:color w:val="000000"/>
          <w:sz w:val="24"/>
          <w:szCs w:val="24"/>
        </w:rPr>
        <w:t>R (Quark Fishing) v. SSFCA</w:t>
      </w:r>
      <w:r w:rsidRPr="00CA2C15">
        <w:rPr>
          <w:rFonts w:ascii="Calibri" w:eastAsia="Arial" w:hAnsi="Calibri" w:cs="Calibri"/>
          <w:color w:val="000000"/>
          <w:sz w:val="24"/>
          <w:szCs w:val="24"/>
        </w:rPr>
        <w:t xml:space="preserve"> [2002] EWCA Civ 1409, para 50. There is an </w:t>
      </w:r>
      <w:r w:rsidRPr="00CA2C15">
        <w:rPr>
          <w:rFonts w:ascii="Calibri" w:eastAsia="Arial" w:hAnsi="Calibri" w:cs="Calibri"/>
          <w:i/>
          <w:color w:val="000000"/>
          <w:sz w:val="24"/>
          <w:szCs w:val="24"/>
        </w:rPr>
        <w:t xml:space="preserve">“obligation resting on a public authority to make candid disclosure to the court of its decision making process, laying before it the relevant facts and the reasoning behind the decision challenged” </w:t>
      </w:r>
      <w:r w:rsidRPr="00CA2C15">
        <w:rPr>
          <w:rFonts w:ascii="Calibri" w:eastAsia="Arial" w:hAnsi="Calibri" w:cs="Calibri"/>
          <w:color w:val="000000"/>
          <w:sz w:val="24"/>
          <w:szCs w:val="24"/>
        </w:rPr>
        <w:t xml:space="preserve">– </w:t>
      </w:r>
      <w:r w:rsidRPr="00CA2C15">
        <w:rPr>
          <w:rFonts w:ascii="Calibri" w:eastAsia="Arial" w:hAnsi="Calibri" w:cs="Calibri"/>
          <w:i/>
          <w:iCs/>
          <w:color w:val="000000"/>
          <w:sz w:val="24"/>
          <w:szCs w:val="24"/>
        </w:rPr>
        <w:t>Tweed</w:t>
      </w:r>
      <w:r w:rsidRPr="00CA2C15">
        <w:rPr>
          <w:rFonts w:ascii="Calibri" w:eastAsia="Arial" w:hAnsi="Calibri" w:cs="Calibri"/>
          <w:color w:val="000000"/>
          <w:sz w:val="24"/>
          <w:szCs w:val="24"/>
        </w:rPr>
        <w:t>, para 31.</w:t>
      </w:r>
    </w:p>
    <w:p w14:paraId="614457D8" w14:textId="7D39733A"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an application for disclosure is made then it must be </w:t>
      </w:r>
      <w:r w:rsidRPr="00CA2C15">
        <w:rPr>
          <w:rFonts w:ascii="Calibri" w:eastAsia="Arial" w:hAnsi="Calibri" w:cs="Calibri"/>
          <w:i/>
          <w:color w:val="000000"/>
          <w:sz w:val="24"/>
          <w:szCs w:val="24"/>
        </w:rPr>
        <w:t xml:space="preserve">“properly focused on </w:t>
      </w:r>
      <w:r w:rsidRPr="00CA2C15">
        <w:rPr>
          <w:rFonts w:ascii="Calibri" w:eastAsia="Times New Roman" w:hAnsi="Calibri" w:cs="Calibri"/>
          <w:i/>
          <w:iCs/>
          <w:sz w:val="24"/>
          <w:szCs w:val="20"/>
          <w:lang w:val="en-GB"/>
        </w:rPr>
        <w:t>auditing</w:t>
      </w:r>
      <w:r w:rsidRPr="00CA2C15">
        <w:rPr>
          <w:rFonts w:ascii="Calibri" w:eastAsia="Arial" w:hAnsi="Calibri" w:cs="Calibri"/>
          <w:i/>
          <w:color w:val="000000"/>
          <w:sz w:val="24"/>
          <w:szCs w:val="24"/>
        </w:rPr>
        <w:t xml:space="preserve"> the legality of public decision making” </w:t>
      </w:r>
      <w:r w:rsidRPr="00CA2C15">
        <w:rPr>
          <w:rFonts w:ascii="Calibri" w:eastAsia="Arial" w:hAnsi="Calibri" w:cs="Calibri"/>
          <w:color w:val="000000"/>
          <w:sz w:val="24"/>
          <w:szCs w:val="24"/>
        </w:rPr>
        <w:t xml:space="preserve">– </w:t>
      </w:r>
      <w:r w:rsidRPr="00CA2C15">
        <w:rPr>
          <w:rFonts w:ascii="Calibri" w:eastAsia="Arial" w:hAnsi="Calibri" w:cs="Calibri"/>
          <w:i/>
          <w:iCs/>
          <w:color w:val="000000"/>
          <w:sz w:val="24"/>
          <w:szCs w:val="24"/>
        </w:rPr>
        <w:t>Bredenkamp</w:t>
      </w:r>
      <w:r w:rsidRPr="00CA2C15">
        <w:rPr>
          <w:rFonts w:ascii="Calibri" w:eastAsia="Arial" w:hAnsi="Calibri" w:cs="Calibri"/>
          <w:color w:val="000000"/>
          <w:sz w:val="24"/>
          <w:szCs w:val="24"/>
        </w:rPr>
        <w:t>, para 11.</w:t>
      </w:r>
    </w:p>
    <w:p w14:paraId="15EAE42B" w14:textId="1480017F"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Disclosure may be ordered despite the fact that documents are confidential – </w:t>
      </w:r>
      <w:r w:rsidRPr="00CA2C15">
        <w:rPr>
          <w:rFonts w:ascii="Calibri" w:eastAsia="Arial" w:hAnsi="Calibri" w:cs="Calibri"/>
          <w:i/>
          <w:iCs/>
          <w:color w:val="000000"/>
          <w:sz w:val="24"/>
          <w:szCs w:val="24"/>
        </w:rPr>
        <w:t>R (Mohammed) v. SSD</w:t>
      </w:r>
      <w:r w:rsidR="00445026" w:rsidRPr="00CA2C15">
        <w:rPr>
          <w:rFonts w:ascii="Calibri" w:eastAsia="Arial" w:hAnsi="Calibri" w:cs="Calibri"/>
          <w:i/>
          <w:iCs/>
          <w:color w:val="000000"/>
          <w:sz w:val="24"/>
          <w:szCs w:val="24"/>
        </w:rPr>
        <w:t xml:space="preserve"> </w:t>
      </w:r>
      <w:r w:rsidRPr="00CA2C15">
        <w:rPr>
          <w:rFonts w:ascii="Calibri" w:eastAsia="Arial" w:hAnsi="Calibri" w:cs="Calibri"/>
          <w:color w:val="000000"/>
          <w:sz w:val="24"/>
          <w:szCs w:val="24"/>
        </w:rPr>
        <w:t>[2012] EWHC 3946 (Admin), paras 16-18. In appropriate cases the court may require documents to be produced to it so that it can assess whether disclosure is necessary – Re Finucane’s application [2013] NIQB 45.</w:t>
      </w:r>
    </w:p>
    <w:p w14:paraId="6F401245" w14:textId="077A2EBC"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noProof/>
          <w:color w:val="000000"/>
          <w:sz w:val="24"/>
          <w:szCs w:val="24"/>
        </w:rPr>
        <mc:AlternateContent>
          <mc:Choice Requires="wps">
            <w:drawing>
              <wp:anchor distT="0" distB="0" distL="0" distR="0" simplePos="0" relativeHeight="251658240" behindDoc="1" locked="0" layoutInCell="1" allowOverlap="1" wp14:anchorId="0D764015" wp14:editId="1FF14F41">
                <wp:simplePos x="0" y="0"/>
                <wp:positionH relativeFrom="page">
                  <wp:posOffset>6815455</wp:posOffset>
                </wp:positionH>
                <wp:positionV relativeFrom="page">
                  <wp:posOffset>9070975</wp:posOffset>
                </wp:positionV>
                <wp:extent cx="103505" cy="15240"/>
                <wp:effectExtent l="0" t="3175" r="0" b="635"/>
                <wp:wrapNone/>
                <wp:docPr id="58551304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 cy="15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906C4" w14:textId="77777777" w:rsidR="00B935ED" w:rsidRDefault="00B935ED" w:rsidP="00B935ED">
                            <w:pPr>
                              <w:spacing w:line="24" w:lineRule="exact"/>
                              <w:textAlignment w:val="baseline"/>
                            </w:pPr>
                            <w:r>
                              <w:rPr>
                                <w:noProof/>
                              </w:rPr>
                              <w:drawing>
                                <wp:inline distT="0" distB="0" distL="0" distR="0" wp14:anchorId="2D320F28" wp14:editId="747C4945">
                                  <wp:extent cx="103505" cy="15240"/>
                                  <wp:effectExtent l="0" t="0" r="0" b="0"/>
                                  <wp:docPr id="1370509827" name="Picture"/>
                                  <wp:cNvGraphicFramePr/>
                                  <a:graphic xmlns:a="http://schemas.openxmlformats.org/drawingml/2006/main">
                                    <a:graphicData uri="http://schemas.openxmlformats.org/drawingml/2006/picture">
                                      <pic:pic xmlns:pic="http://schemas.openxmlformats.org/drawingml/2006/picture">
                                        <pic:nvPicPr>
                                          <pic:cNvPr id="8" name="Picture"/>
                                          <pic:cNvPicPr preferRelativeResize="0"/>
                                        </pic:nvPicPr>
                                        <pic:blipFill>
                                          <a:blip r:embed="rId24"/>
                                          <a:stretch>
                                            <a:fillRect/>
                                          </a:stretch>
                                        </pic:blipFill>
                                        <pic:spPr>
                                          <a:xfrm>
                                            <a:off x="0" y="0"/>
                                            <a:ext cx="103505" cy="1524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764015" id="_x0000_t202" coordsize="21600,21600" o:spt="202" path="m,l,21600r21600,l21600,xe">
                <v:stroke joinstyle="miter"/>
                <v:path gradientshapeok="t" o:connecttype="rect"/>
              </v:shapetype>
              <v:shape id="Text Box 1" o:spid="_x0000_s1026" type="#_x0000_t202" style="position:absolute;left:0;text-align:left;margin-left:536.65pt;margin-top:714.25pt;width:8.15pt;height:1.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" filled="f" stroked="f">
                <v:textbox inset="0,0,0,0">
                  <w:txbxContent>
                    <w:p w14:paraId="1B3906C4" w14:textId="77777777" w:rsidR="00B935ED" w:rsidRDefault="00B935ED" w:rsidP="00B935ED">
                      <w:pPr>
                        <w:spacing w:line="24" w:lineRule="exact"/>
                        <w:textAlignment w:val="baseline"/>
                      </w:pPr>
                      <w:r>
                        <w:rPr>
                          <w:noProof/>
                        </w:rPr>
                        <w:drawing>
                          <wp:inline distT="0" distB="0" distL="0" distR="0" wp14:anchorId="2D320F28" wp14:editId="747C4945">
                            <wp:extent cx="103505" cy="15240"/>
                            <wp:effectExtent l="0" t="0" r="0" b="0"/>
                            <wp:docPr id="1370509827" name="Picture"/>
                            <wp:cNvGraphicFramePr/>
                            <a:graphic xmlns:a="http://schemas.openxmlformats.org/drawingml/2006/main">
                              <a:graphicData uri="http://schemas.openxmlformats.org/drawingml/2006/picture">
                                <pic:pic xmlns:pic="http://schemas.openxmlformats.org/drawingml/2006/picture">
                                  <pic:nvPicPr>
                                    <pic:cNvPr id="8" name="Picture"/>
                                    <pic:cNvPicPr preferRelativeResize="0"/>
                                  </pic:nvPicPr>
                                  <pic:blipFill>
                                    <a:blip r:embed="rId25"/>
                                    <a:stretch>
                                      <a:fillRect/>
                                    </a:stretch>
                                  </pic:blipFill>
                                  <pic:spPr>
                                    <a:xfrm>
                                      <a:off x="0" y="0"/>
                                      <a:ext cx="103505" cy="15240"/>
                                    </a:xfrm>
                                    <a:prstGeom prst="rect">
                                      <a:avLst/>
                                    </a:prstGeom>
                                  </pic:spPr>
                                </pic:pic>
                              </a:graphicData>
                            </a:graphic>
                          </wp:inline>
                        </w:drawing>
                      </w:r>
                    </w:p>
                  </w:txbxContent>
                </v:textbox>
                <w10:wrap anchorx="page" anchory="page"/>
              </v:shape>
            </w:pict>
          </mc:Fallback>
        </mc:AlternateContent>
      </w:r>
      <w:r w:rsidRPr="00CA2C15">
        <w:rPr>
          <w:rFonts w:ascii="Calibri" w:eastAsia="Arial" w:hAnsi="Calibri" w:cs="Calibri"/>
          <w:color w:val="000000"/>
          <w:sz w:val="24"/>
          <w:szCs w:val="24"/>
        </w:rPr>
        <w:t xml:space="preserve">Disclosure may also be ordered to make the decision under challenge </w:t>
      </w:r>
      <w:r w:rsidRPr="00CA2C15">
        <w:rPr>
          <w:rFonts w:ascii="Calibri" w:eastAsia="Times New Roman" w:hAnsi="Calibri" w:cs="Calibri"/>
          <w:sz w:val="24"/>
          <w:szCs w:val="20"/>
          <w:lang w:val="en-GB"/>
        </w:rPr>
        <w:t>intelligible</w:t>
      </w:r>
      <w:r w:rsidRPr="00CA2C15">
        <w:rPr>
          <w:rFonts w:ascii="Calibri" w:eastAsia="Arial" w:hAnsi="Calibri" w:cs="Calibri"/>
          <w:color w:val="000000"/>
          <w:sz w:val="24"/>
          <w:szCs w:val="24"/>
        </w:rPr>
        <w:t xml:space="preserve">. For example, in </w:t>
      </w:r>
      <w:r w:rsidRPr="00CA2C15">
        <w:rPr>
          <w:rFonts w:ascii="Calibri" w:eastAsia="Arial" w:hAnsi="Calibri" w:cs="Calibri"/>
          <w:i/>
          <w:iCs/>
          <w:color w:val="000000"/>
          <w:sz w:val="24"/>
          <w:szCs w:val="24"/>
          <w:u w:val="single"/>
        </w:rPr>
        <w:t>R (Firstgroup Plc) v. Strategic Rail Authority</w:t>
      </w:r>
      <w:r w:rsidRPr="00CA2C15">
        <w:rPr>
          <w:rFonts w:ascii="Calibri" w:eastAsia="Arial" w:hAnsi="Calibri" w:cs="Calibri"/>
          <w:color w:val="000000"/>
          <w:sz w:val="24"/>
          <w:szCs w:val="24"/>
        </w:rPr>
        <w:t xml:space="preserve"> [2003] EWHC 1611 Admin, anonymised disclosure was ordered of scores in a rail franchise exercise, in part so that the court could evaluate an irrationality challenge.</w:t>
      </w:r>
    </w:p>
    <w:p w14:paraId="72CA9ADC" w14:textId="77777777" w:rsidR="009E0C42"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It may also be necessary to make disclosure so that cross-examination can be effective – </w:t>
      </w:r>
      <w:r w:rsidRPr="00CA2C15">
        <w:rPr>
          <w:rFonts w:ascii="Calibri" w:eastAsia="Arial" w:hAnsi="Calibri" w:cs="Calibri"/>
          <w:i/>
          <w:iCs/>
          <w:color w:val="000000"/>
          <w:sz w:val="24"/>
          <w:szCs w:val="24"/>
        </w:rPr>
        <w:t xml:space="preserve">Al </w:t>
      </w:r>
      <w:r w:rsidRPr="00CA2C15">
        <w:rPr>
          <w:rFonts w:ascii="Calibri" w:eastAsia="Times New Roman" w:hAnsi="Calibri" w:cs="Calibri"/>
          <w:sz w:val="24"/>
          <w:szCs w:val="20"/>
          <w:lang w:val="en-GB"/>
        </w:rPr>
        <w:t>Sweady</w:t>
      </w:r>
      <w:r w:rsidRPr="00CA2C15">
        <w:rPr>
          <w:rFonts w:ascii="Calibri" w:eastAsia="Arial" w:hAnsi="Calibri" w:cs="Calibri"/>
          <w:color w:val="000000"/>
          <w:sz w:val="24"/>
          <w:szCs w:val="24"/>
          <w:u w:val="single"/>
        </w:rPr>
        <w:t xml:space="preserve"> </w:t>
      </w:r>
      <w:r w:rsidRPr="00CA2C15">
        <w:rPr>
          <w:rFonts w:ascii="Calibri" w:eastAsia="Arial" w:hAnsi="Calibri" w:cs="Calibri"/>
          <w:color w:val="000000"/>
          <w:sz w:val="24"/>
          <w:szCs w:val="24"/>
        </w:rPr>
        <w:t>(below):</w:t>
      </w:r>
    </w:p>
    <w:p w14:paraId="4CD2A4F5" w14:textId="103C425D" w:rsidR="00B935ED" w:rsidRPr="00CA2C15" w:rsidRDefault="00B935ED" w:rsidP="009E0C42">
      <w:pPr>
        <w:pStyle w:val="ListParagraph"/>
        <w:tabs>
          <w:tab w:val="left" w:pos="216"/>
          <w:tab w:val="left" w:pos="288"/>
        </w:tabs>
        <w:spacing w:after="240" w:line="360" w:lineRule="auto"/>
        <w:ind w:left="1440"/>
        <w:contextualSpacing w:val="0"/>
        <w:jc w:val="both"/>
        <w:textAlignment w:val="baseline"/>
        <w:rPr>
          <w:rFonts w:ascii="Calibri" w:eastAsia="Arial" w:hAnsi="Calibri" w:cs="Calibri"/>
          <w:color w:val="000000"/>
        </w:rPr>
      </w:pPr>
      <w:r w:rsidRPr="00CA2C15">
        <w:rPr>
          <w:rFonts w:ascii="Calibri" w:eastAsia="Arial" w:hAnsi="Calibri" w:cs="Calibri"/>
          <w:i/>
          <w:color w:val="000000"/>
        </w:rPr>
        <w:t xml:space="preserve">“For there to have been effective cross-examination, it was vital for full disclosure to occur as otherwise the evidence of those witnesses could not be effectively challenged and appraised with the consequence that the truth would not have been discovered. Put in another way, where the court is involved in fact-finding on issues as crucial to the outcome of this case as they were in the present case, the approach to disclosure should be similar to that in an ordinary Queen’s Bench action” </w:t>
      </w:r>
      <w:r w:rsidRPr="00CA2C15">
        <w:rPr>
          <w:rFonts w:ascii="Calibri" w:eastAsia="Arial" w:hAnsi="Calibri" w:cs="Calibri"/>
          <w:color w:val="000000"/>
        </w:rPr>
        <w:t>– para 27.</w:t>
      </w:r>
    </w:p>
    <w:p w14:paraId="480F3B06" w14:textId="6F0ED3EC"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 Court can order disclosure of the gist of sensitive information. In</w:t>
      </w:r>
      <w:r w:rsidRPr="00CA2C15">
        <w:rPr>
          <w:rFonts w:ascii="Calibri" w:eastAsia="Arial" w:hAnsi="Calibri" w:cs="Calibri"/>
          <w:i/>
          <w:iCs/>
          <w:color w:val="000000"/>
          <w:sz w:val="24"/>
          <w:szCs w:val="24"/>
        </w:rPr>
        <w:t xml:space="preserve"> A (a Child) v. CC Dorset</w:t>
      </w:r>
      <w:r w:rsidR="008B5E99"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[2010] EWHC 1748 (Admin) the Claimant had been taken to a safe centre because he had allegedly been seen with an </w:t>
      </w:r>
      <w:r w:rsidRPr="00CA2C15">
        <w:rPr>
          <w:rFonts w:ascii="Calibri" w:eastAsia="Arial" w:hAnsi="Calibri" w:cs="Calibri"/>
          <w:i/>
          <w:color w:val="000000"/>
          <w:sz w:val="24"/>
          <w:szCs w:val="24"/>
        </w:rPr>
        <w:t>“inappropriate adult”</w:t>
      </w:r>
      <w:r w:rsidRPr="00CA2C15">
        <w:rPr>
          <w:rFonts w:ascii="Calibri" w:eastAsia="Arial" w:hAnsi="Calibri" w:cs="Calibri"/>
          <w:color w:val="000000"/>
          <w:sz w:val="24"/>
          <w:szCs w:val="24"/>
        </w:rPr>
        <w:t xml:space="preserve">. The police did not give any further information and the </w:t>
      </w:r>
      <w:r w:rsidR="004663D2"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started a claim for a declaration and damages. The interested party applied to prevent the police serving sensitive information on</w:t>
      </w:r>
      <w:r w:rsidR="003B6034" w:rsidRPr="00CA2C15">
        <w:rPr>
          <w:rFonts w:ascii="Calibri" w:eastAsia="Arial" w:hAnsi="Calibri" w:cs="Calibri"/>
          <w:color w:val="000000"/>
          <w:sz w:val="24"/>
          <w:szCs w:val="24"/>
        </w:rPr>
        <w:t xml:space="preserve"> the</w:t>
      </w:r>
      <w:r w:rsidRPr="00CA2C15">
        <w:rPr>
          <w:rFonts w:ascii="Calibri" w:eastAsia="Arial" w:hAnsi="Calibri" w:cs="Calibri"/>
          <w:color w:val="000000"/>
          <w:sz w:val="24"/>
          <w:szCs w:val="24"/>
        </w:rPr>
        <w:t xml:space="preserve"> </w:t>
      </w:r>
      <w:r w:rsidR="004663D2" w:rsidRPr="00CA2C15">
        <w:rPr>
          <w:rFonts w:ascii="Calibri" w:eastAsia="Arial" w:hAnsi="Calibri" w:cs="Calibri"/>
          <w:color w:val="000000"/>
          <w:sz w:val="24"/>
          <w:szCs w:val="24"/>
        </w:rPr>
        <w:t>c</w:t>
      </w:r>
      <w:r w:rsidR="003B6034" w:rsidRPr="00CA2C15">
        <w:rPr>
          <w:rFonts w:ascii="Calibri" w:eastAsia="Arial" w:hAnsi="Calibri" w:cs="Calibri"/>
          <w:color w:val="000000"/>
          <w:sz w:val="24"/>
          <w:szCs w:val="24"/>
        </w:rPr>
        <w:t>laimant</w:t>
      </w:r>
      <w:r w:rsidRPr="00CA2C15">
        <w:rPr>
          <w:rFonts w:ascii="Calibri" w:eastAsia="Arial" w:hAnsi="Calibri" w:cs="Calibri"/>
          <w:color w:val="000000"/>
          <w:sz w:val="24"/>
          <w:szCs w:val="24"/>
        </w:rPr>
        <w:t xml:space="preserve"> to justify their actions. Blake J directed that a gist should be given of the nature of the harm that the police considered </w:t>
      </w:r>
      <w:r w:rsidR="003B6034" w:rsidRPr="00CA2C15">
        <w:rPr>
          <w:rFonts w:ascii="Calibri" w:eastAsia="Arial" w:hAnsi="Calibri" w:cs="Calibri"/>
          <w:color w:val="000000"/>
          <w:sz w:val="24"/>
          <w:szCs w:val="24"/>
        </w:rPr>
        <w:t xml:space="preserve">the </w:t>
      </w:r>
      <w:r w:rsidR="004663D2" w:rsidRPr="00CA2C15">
        <w:rPr>
          <w:rFonts w:ascii="Calibri" w:eastAsia="Arial" w:hAnsi="Calibri" w:cs="Calibri"/>
          <w:color w:val="000000"/>
          <w:sz w:val="24"/>
          <w:szCs w:val="24"/>
        </w:rPr>
        <w:t>c</w:t>
      </w:r>
      <w:r w:rsidR="003B6034" w:rsidRPr="00CA2C15">
        <w:rPr>
          <w:rFonts w:ascii="Calibri" w:eastAsia="Arial" w:hAnsi="Calibri" w:cs="Calibri"/>
          <w:color w:val="000000"/>
          <w:sz w:val="24"/>
          <w:szCs w:val="24"/>
        </w:rPr>
        <w:t>laimant</w:t>
      </w:r>
      <w:r w:rsidRPr="00CA2C15">
        <w:rPr>
          <w:rFonts w:ascii="Calibri" w:eastAsia="Arial" w:hAnsi="Calibri" w:cs="Calibri"/>
          <w:color w:val="000000"/>
          <w:sz w:val="24"/>
          <w:szCs w:val="24"/>
        </w:rPr>
        <w:t xml:space="preserve"> might be subject to but not the grounds for that belief. He invited the parties to agree that</w:t>
      </w:r>
      <w:r w:rsidR="003B6034" w:rsidRPr="00CA2C15">
        <w:rPr>
          <w:rFonts w:ascii="Calibri" w:eastAsia="Arial" w:hAnsi="Calibri" w:cs="Calibri"/>
          <w:color w:val="000000"/>
          <w:sz w:val="24"/>
          <w:szCs w:val="24"/>
        </w:rPr>
        <w:t xml:space="preserve"> the</w:t>
      </w:r>
      <w:r w:rsidRPr="00CA2C15">
        <w:rPr>
          <w:rFonts w:ascii="Calibri" w:eastAsia="Arial" w:hAnsi="Calibri" w:cs="Calibri"/>
          <w:color w:val="000000"/>
          <w:sz w:val="24"/>
          <w:szCs w:val="24"/>
        </w:rPr>
        <w:t xml:space="preserve"> </w:t>
      </w:r>
      <w:r w:rsidR="004663D2" w:rsidRPr="00CA2C15">
        <w:rPr>
          <w:rFonts w:ascii="Calibri" w:eastAsia="Arial" w:hAnsi="Calibri" w:cs="Calibri"/>
          <w:color w:val="000000"/>
          <w:sz w:val="24"/>
          <w:szCs w:val="24"/>
        </w:rPr>
        <w:t>c</w:t>
      </w:r>
      <w:r w:rsidR="003B6034" w:rsidRPr="00CA2C15">
        <w:rPr>
          <w:rFonts w:ascii="Calibri" w:eastAsia="Arial" w:hAnsi="Calibri" w:cs="Calibri"/>
          <w:color w:val="000000"/>
          <w:sz w:val="24"/>
          <w:szCs w:val="24"/>
        </w:rPr>
        <w:t>laimant</w:t>
      </w:r>
      <w:r w:rsidRPr="00CA2C15">
        <w:rPr>
          <w:rFonts w:ascii="Calibri" w:eastAsia="Arial" w:hAnsi="Calibri" w:cs="Calibri"/>
          <w:color w:val="000000"/>
          <w:sz w:val="24"/>
          <w:szCs w:val="24"/>
        </w:rPr>
        <w:t>’s legal team should have access to the material without disclosing it.</w:t>
      </w:r>
    </w:p>
    <w:p w14:paraId="587C2888" w14:textId="1E67EB18" w:rsidR="00D76486"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Note, however, that in relation to summarised documents, the House of Lords in </w:t>
      </w:r>
      <w:r w:rsidRPr="00CA2C15">
        <w:rPr>
          <w:rFonts w:ascii="Calibri" w:eastAsia="Arial" w:hAnsi="Calibri" w:cs="Calibri"/>
          <w:i/>
          <w:iCs/>
          <w:color w:val="000000"/>
          <w:sz w:val="24"/>
          <w:szCs w:val="24"/>
        </w:rPr>
        <w:t>Tweed</w:t>
      </w:r>
      <w:r w:rsidRPr="00CA2C15">
        <w:rPr>
          <w:rFonts w:ascii="Calibri" w:eastAsia="Arial" w:hAnsi="Calibri" w:cs="Calibri"/>
          <w:color w:val="000000"/>
          <w:sz w:val="24"/>
          <w:szCs w:val="24"/>
        </w:rPr>
        <w:t xml:space="preserve"> </w:t>
      </w:r>
      <w:r w:rsidRPr="00CA2C15">
        <w:rPr>
          <w:rFonts w:ascii="Calibri" w:eastAsia="Times New Roman" w:hAnsi="Calibri" w:cs="Calibri"/>
          <w:sz w:val="24"/>
          <w:szCs w:val="20"/>
          <w:lang w:val="en-GB"/>
        </w:rPr>
        <w:t>held</w:t>
      </w:r>
      <w:r w:rsidRPr="00CA2C15">
        <w:rPr>
          <w:rFonts w:ascii="Calibri" w:eastAsia="Arial" w:hAnsi="Calibri" w:cs="Calibri"/>
          <w:color w:val="000000"/>
          <w:sz w:val="24"/>
          <w:szCs w:val="24"/>
        </w:rPr>
        <w:t xml:space="preserve"> at para. 4 that</w:t>
      </w:r>
      <w:r w:rsidR="00D76486" w:rsidRPr="00CA2C15">
        <w:rPr>
          <w:rFonts w:ascii="Calibri" w:eastAsia="Arial" w:hAnsi="Calibri" w:cs="Calibri"/>
          <w:color w:val="000000"/>
          <w:sz w:val="24"/>
          <w:szCs w:val="24"/>
        </w:rPr>
        <w:t>:</w:t>
      </w:r>
    </w:p>
    <w:p w14:paraId="0B581DDD" w14:textId="7710BEFF" w:rsidR="00B935ED" w:rsidRPr="00CA2C15" w:rsidRDefault="00B935ED" w:rsidP="004663D2">
      <w:pPr>
        <w:spacing w:after="240" w:line="360" w:lineRule="auto"/>
        <w:ind w:left="144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 </w:t>
      </w:r>
      <w:r w:rsidRPr="00CA2C15">
        <w:rPr>
          <w:rFonts w:ascii="Calibri" w:eastAsia="Arial" w:hAnsi="Calibri" w:cs="Calibri"/>
          <w:i/>
          <w:color w:val="000000"/>
        </w:rPr>
        <w:t xml:space="preserve">“where a public authority relies on a document </w:t>
      </w:r>
      <w:r w:rsidRPr="00CA2C15">
        <w:rPr>
          <w:rFonts w:ascii="Calibri" w:eastAsia="Arial" w:hAnsi="Calibri" w:cs="Calibri"/>
          <w:color w:val="000000"/>
        </w:rPr>
        <w:t>as</w:t>
      </w:r>
      <w:r w:rsidRPr="00CA2C15">
        <w:rPr>
          <w:rFonts w:ascii="Calibri" w:eastAsia="Arial" w:hAnsi="Calibri" w:cs="Calibri"/>
          <w:i/>
          <w:color w:val="000000"/>
        </w:rPr>
        <w:t xml:space="preserve"> significant to its decision, it is ordinarily good practice to exhibit it as the primary evidence. Any summary, however conscientiously and skilfully </w:t>
      </w:r>
      <w:r w:rsidRPr="00CA2C15">
        <w:rPr>
          <w:rFonts w:ascii="Calibri" w:eastAsia="Arial" w:hAnsi="Calibri" w:cs="Calibri"/>
          <w:color w:val="000000"/>
        </w:rPr>
        <w:t>made</w:t>
      </w:r>
      <w:r w:rsidRPr="00CA2C15">
        <w:rPr>
          <w:rFonts w:ascii="Calibri" w:eastAsia="Arial" w:hAnsi="Calibri" w:cs="Calibri"/>
          <w:i/>
          <w:color w:val="000000"/>
        </w:rPr>
        <w:t>, may distort. But where the authority's deponent chooses to summarise the effect of a document it should not be necessary for the applicant, seeking sight of the document, to suggest some inaccuracy or incompleteness in the summary, usually an impossible task without sight of the document. It is enough that the document itself is the best evidence of what it says.”</w:t>
      </w:r>
    </w:p>
    <w:p w14:paraId="4E7E621A" w14:textId="7777777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appropriate cases, a confidentiality ring may be another option to allow sensitive </w:t>
      </w:r>
      <w:r w:rsidRPr="00CA2C15">
        <w:rPr>
          <w:rFonts w:ascii="Calibri" w:eastAsia="Times New Roman" w:hAnsi="Calibri" w:cs="Calibri"/>
          <w:sz w:val="24"/>
          <w:szCs w:val="20"/>
          <w:lang w:val="en-GB"/>
        </w:rPr>
        <w:t>material</w:t>
      </w:r>
      <w:r w:rsidRPr="00CA2C15">
        <w:rPr>
          <w:rFonts w:ascii="Calibri" w:eastAsia="Arial" w:hAnsi="Calibri" w:cs="Calibri"/>
          <w:color w:val="000000"/>
          <w:sz w:val="24"/>
          <w:szCs w:val="24"/>
        </w:rPr>
        <w:t xml:space="preserve"> being disclosed – </w:t>
      </w:r>
      <w:r w:rsidRPr="00CA2C15">
        <w:rPr>
          <w:rFonts w:ascii="Calibri" w:eastAsia="Arial" w:hAnsi="Calibri" w:cs="Calibri"/>
          <w:i/>
          <w:iCs/>
          <w:color w:val="000000"/>
          <w:sz w:val="24"/>
          <w:szCs w:val="24"/>
        </w:rPr>
        <w:t>R (Mohammed) v. SSD</w:t>
      </w:r>
      <w:r w:rsidRPr="00CA2C15">
        <w:rPr>
          <w:rFonts w:ascii="Calibri" w:eastAsia="Arial" w:hAnsi="Calibri" w:cs="Calibri"/>
          <w:color w:val="000000"/>
          <w:sz w:val="24"/>
          <w:szCs w:val="24"/>
        </w:rPr>
        <w:t xml:space="preserve"> [2012] EWHC 3454 (Admin). (Although the decision was doubted in </w:t>
      </w:r>
      <w:r w:rsidRPr="00CA2C15">
        <w:rPr>
          <w:rFonts w:ascii="Calibri" w:eastAsia="Arial" w:hAnsi="Calibri" w:cs="Calibri"/>
          <w:i/>
          <w:iCs/>
          <w:color w:val="000000"/>
          <w:sz w:val="24"/>
          <w:szCs w:val="24"/>
        </w:rPr>
        <w:t>AHK v. SSHD</w:t>
      </w:r>
      <w:r w:rsidRPr="00CA2C15">
        <w:rPr>
          <w:rFonts w:ascii="Calibri" w:eastAsia="Arial" w:hAnsi="Calibri" w:cs="Calibri"/>
          <w:color w:val="000000"/>
          <w:sz w:val="24"/>
          <w:szCs w:val="24"/>
        </w:rPr>
        <w:t xml:space="preserve"> [2013] EWHC 1426 (Admin), para 22).</w:t>
      </w:r>
    </w:p>
    <w:p w14:paraId="61866FD6" w14:textId="7777777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Claimants</w:t>
      </w:r>
      <w:r w:rsidRPr="00CA2C15">
        <w:rPr>
          <w:rFonts w:ascii="Calibri" w:eastAsia="Arial" w:hAnsi="Calibri" w:cs="Calibri"/>
          <w:color w:val="000000"/>
          <w:sz w:val="24"/>
          <w:szCs w:val="24"/>
        </w:rPr>
        <w:t xml:space="preserve"> should also consider the possibility of applications for information under the Freedom of Information Act 2000 and the GDPR.</w:t>
      </w:r>
    </w:p>
    <w:p w14:paraId="7D7D5043" w14:textId="77777777" w:rsidR="00B935ED" w:rsidRPr="00CA2C15" w:rsidRDefault="00B935ED" w:rsidP="000E20E1">
      <w:pPr>
        <w:spacing w:after="240" w:line="360" w:lineRule="auto"/>
        <w:ind w:left="216" w:firstLine="504"/>
        <w:jc w:val="both"/>
        <w:textAlignment w:val="baseline"/>
        <w:rPr>
          <w:rFonts w:ascii="Calibri" w:eastAsia="Arial" w:hAnsi="Calibri" w:cs="Calibri"/>
          <w:b/>
          <w:color w:val="000000"/>
          <w:spacing w:val="-3"/>
          <w:sz w:val="24"/>
          <w:szCs w:val="24"/>
        </w:rPr>
      </w:pPr>
      <w:r w:rsidRPr="00CA2C15">
        <w:rPr>
          <w:rFonts w:ascii="Calibri" w:eastAsia="Arial" w:hAnsi="Calibri" w:cs="Calibri"/>
          <w:b/>
          <w:color w:val="000000"/>
          <w:spacing w:val="-3"/>
          <w:sz w:val="24"/>
          <w:szCs w:val="24"/>
        </w:rPr>
        <w:t>Cross-examination</w:t>
      </w:r>
    </w:p>
    <w:p w14:paraId="4B7D0D48" w14:textId="3965EF3F"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traditional approach has always been that judicial review applications are ordinarily heard on the basis of written evidence rather than </w:t>
      </w:r>
      <w:r w:rsidR="00A2165D" w:rsidRPr="00CA2C15">
        <w:rPr>
          <w:rFonts w:ascii="Calibri" w:eastAsia="Arial" w:hAnsi="Calibri" w:cs="Calibri"/>
          <w:color w:val="000000"/>
          <w:sz w:val="24"/>
          <w:szCs w:val="24"/>
        </w:rPr>
        <w:t xml:space="preserve">oral </w:t>
      </w:r>
      <w:r w:rsidRPr="00CA2C15">
        <w:rPr>
          <w:rFonts w:ascii="Calibri" w:eastAsia="Arial" w:hAnsi="Calibri" w:cs="Calibri"/>
          <w:color w:val="000000"/>
          <w:sz w:val="24"/>
          <w:szCs w:val="24"/>
        </w:rPr>
        <w:t xml:space="preserve">evidence; factual disputes will generally be resolved at trial in the </w:t>
      </w:r>
      <w:r w:rsidR="00FB686F" w:rsidRPr="00CA2C15">
        <w:rPr>
          <w:rFonts w:ascii="Calibri" w:eastAsia="Arial" w:hAnsi="Calibri" w:cs="Calibri"/>
          <w:color w:val="000000"/>
          <w:sz w:val="24"/>
          <w:szCs w:val="24"/>
        </w:rPr>
        <w:t xml:space="preserve">defendant’s </w:t>
      </w:r>
      <w:r w:rsidRPr="00CA2C15">
        <w:rPr>
          <w:rFonts w:ascii="Calibri" w:eastAsia="Arial" w:hAnsi="Calibri" w:cs="Calibri"/>
          <w:color w:val="000000"/>
          <w:sz w:val="24"/>
          <w:szCs w:val="24"/>
        </w:rPr>
        <w:t xml:space="preserve">favour – </w:t>
      </w:r>
      <w:r w:rsidRPr="00CA2C15">
        <w:rPr>
          <w:rFonts w:ascii="Calibri" w:eastAsia="Arial" w:hAnsi="Calibri" w:cs="Calibri"/>
          <w:i/>
          <w:iCs/>
          <w:color w:val="000000"/>
          <w:sz w:val="24"/>
          <w:szCs w:val="24"/>
        </w:rPr>
        <w:t xml:space="preserve">R v. </w:t>
      </w:r>
      <w:r w:rsidRPr="00CA2C15">
        <w:rPr>
          <w:rFonts w:ascii="Calibri" w:eastAsia="Times New Roman" w:hAnsi="Calibri" w:cs="Calibri"/>
          <w:sz w:val="24"/>
          <w:szCs w:val="20"/>
          <w:lang w:val="en-GB"/>
        </w:rPr>
        <w:t>Board</w:t>
      </w:r>
      <w:r w:rsidRPr="00CA2C15">
        <w:rPr>
          <w:rFonts w:ascii="Calibri" w:eastAsia="Arial" w:hAnsi="Calibri" w:cs="Calibri"/>
          <w:i/>
          <w:iCs/>
          <w:color w:val="000000"/>
          <w:sz w:val="24"/>
          <w:szCs w:val="24"/>
        </w:rPr>
        <w:t xml:space="preserve"> of Visitors of Hull Prison, ex p. St Germain (No.2)</w:t>
      </w:r>
      <w:r w:rsidRPr="00CA2C15">
        <w:rPr>
          <w:rFonts w:ascii="Calibri" w:eastAsia="Arial" w:hAnsi="Calibri" w:cs="Calibri"/>
          <w:color w:val="000000"/>
          <w:sz w:val="24"/>
          <w:szCs w:val="24"/>
        </w:rPr>
        <w:t xml:space="preserve"> [1979] 1 WLR 1401. This does not apply where the evidence is manifestly wrong such as the where it is inconsistent with undisputed objective evidence (</w:t>
      </w:r>
      <w:r w:rsidRPr="00CA2C15">
        <w:rPr>
          <w:rFonts w:ascii="Calibri" w:eastAsia="Arial" w:hAnsi="Calibri" w:cs="Calibri"/>
          <w:i/>
          <w:iCs/>
          <w:color w:val="000000"/>
          <w:sz w:val="24"/>
          <w:szCs w:val="24"/>
        </w:rPr>
        <w:t>S v. Airedale NHS Trust</w:t>
      </w:r>
      <w:r w:rsidRPr="00CA2C15">
        <w:rPr>
          <w:rFonts w:ascii="Calibri" w:eastAsia="Arial" w:hAnsi="Calibri" w:cs="Calibri"/>
          <w:color w:val="000000"/>
          <w:sz w:val="24"/>
          <w:szCs w:val="24"/>
        </w:rPr>
        <w:t xml:space="preserve"> [2002] All ER (D) 79, Stanley Burnton J) or the documents show that the </w:t>
      </w:r>
      <w:r w:rsidR="00100A03"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efendant’s evidence </w:t>
      </w:r>
      <w:r w:rsidRPr="00CA2C15">
        <w:rPr>
          <w:rFonts w:ascii="Calibri" w:eastAsia="Arial" w:hAnsi="Calibri" w:cs="Calibri"/>
          <w:i/>
          <w:color w:val="000000"/>
          <w:sz w:val="24"/>
          <w:szCs w:val="24"/>
        </w:rPr>
        <w:t xml:space="preserve">“cannot be correct” </w:t>
      </w:r>
      <w:r w:rsidRPr="00CA2C15">
        <w:rPr>
          <w:rFonts w:ascii="Calibri" w:eastAsia="Arial" w:hAnsi="Calibri" w:cs="Calibri"/>
          <w:color w:val="000000"/>
          <w:sz w:val="24"/>
          <w:szCs w:val="24"/>
        </w:rPr>
        <w:t>(</w:t>
      </w:r>
      <w:r w:rsidRPr="00CA2C15">
        <w:rPr>
          <w:rFonts w:ascii="Calibri" w:eastAsia="Arial" w:hAnsi="Calibri" w:cs="Calibri"/>
          <w:i/>
          <w:iCs/>
          <w:color w:val="000000"/>
          <w:sz w:val="24"/>
          <w:szCs w:val="24"/>
        </w:rPr>
        <w:t>Silber J in R (Mc  Vey) v. Secretary of State for Health</w:t>
      </w:r>
      <w:r w:rsidRPr="00CA2C15">
        <w:rPr>
          <w:rFonts w:ascii="Calibri" w:eastAsia="Arial" w:hAnsi="Calibri" w:cs="Calibri"/>
          <w:color w:val="000000"/>
          <w:sz w:val="24"/>
          <w:szCs w:val="24"/>
        </w:rPr>
        <w:t xml:space="preserve"> [2010] CP Rep 38 at para 35 and </w:t>
      </w:r>
      <w:r w:rsidRPr="00CA2C15">
        <w:rPr>
          <w:rFonts w:ascii="Calibri" w:eastAsia="Arial" w:hAnsi="Calibri" w:cs="Calibri"/>
          <w:i/>
          <w:iCs/>
          <w:color w:val="000000"/>
          <w:sz w:val="24"/>
          <w:szCs w:val="24"/>
        </w:rPr>
        <w:t>R (Westech College) v. SSH</w:t>
      </w:r>
      <w:r w:rsidR="007821AA" w:rsidRPr="00CA2C15">
        <w:rPr>
          <w:rFonts w:ascii="Calibri" w:eastAsia="Arial" w:hAnsi="Calibri" w:cs="Calibri"/>
          <w:i/>
          <w:iCs/>
          <w:color w:val="000000"/>
          <w:sz w:val="24"/>
          <w:szCs w:val="24"/>
        </w:rPr>
        <w:t>D</w:t>
      </w:r>
      <w:r w:rsidRPr="00CA2C15">
        <w:rPr>
          <w:rFonts w:ascii="Calibri" w:eastAsia="Arial" w:hAnsi="Calibri" w:cs="Calibri"/>
          <w:color w:val="000000"/>
          <w:sz w:val="24"/>
          <w:szCs w:val="24"/>
        </w:rPr>
        <w:t xml:space="preserve"> [2011] EWHC 1484 (Admin) at [ 22]-[27]).</w:t>
      </w:r>
    </w:p>
    <w:p w14:paraId="17734F36" w14:textId="16980A79"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Parties and the court should always consider carefully if there is any critical factual issue which requires orders for cross-examination or disclosure. Courts should not be reluctant to make such orders in suitable cases – </w:t>
      </w:r>
      <w:r w:rsidRPr="00CA2C15">
        <w:rPr>
          <w:rFonts w:ascii="Calibri" w:eastAsia="Arial" w:hAnsi="Calibri" w:cs="Calibri"/>
          <w:i/>
          <w:iCs/>
          <w:color w:val="000000"/>
          <w:sz w:val="24"/>
          <w:szCs w:val="24"/>
        </w:rPr>
        <w:t xml:space="preserve">R (Al Sweady) v. </w:t>
      </w:r>
      <w:r w:rsidRPr="00CA2C15">
        <w:rPr>
          <w:rFonts w:ascii="Calibri" w:eastAsia="Times New Roman" w:hAnsi="Calibri" w:cs="Calibri"/>
          <w:sz w:val="24"/>
          <w:szCs w:val="20"/>
          <w:lang w:val="en-GB"/>
        </w:rPr>
        <w:t>Secretary</w:t>
      </w:r>
      <w:r w:rsidRPr="00CA2C15">
        <w:rPr>
          <w:rFonts w:ascii="Calibri" w:eastAsia="Arial" w:hAnsi="Calibri" w:cs="Calibri"/>
          <w:i/>
          <w:iCs/>
          <w:color w:val="000000"/>
          <w:sz w:val="24"/>
          <w:szCs w:val="24"/>
        </w:rPr>
        <w:t xml:space="preserve"> of State</w:t>
      </w:r>
      <w:r w:rsidRPr="00CA2C15">
        <w:rPr>
          <w:rFonts w:ascii="Calibri" w:eastAsia="Arial" w:hAnsi="Calibri" w:cs="Calibri"/>
          <w:color w:val="000000"/>
          <w:sz w:val="24"/>
          <w:szCs w:val="24"/>
        </w:rPr>
        <w:t xml:space="preserve"> [2010] HRLR 2 at paras 27-8. The</w:t>
      </w:r>
      <w:r w:rsidR="00EB491B" w:rsidRPr="00CA2C15">
        <w:rPr>
          <w:rFonts w:ascii="Calibri" w:eastAsia="Arial" w:hAnsi="Calibri" w:cs="Calibri"/>
          <w:color w:val="000000"/>
          <w:sz w:val="24"/>
          <w:szCs w:val="24"/>
        </w:rPr>
        <w:t xml:space="preserve"> parties</w:t>
      </w:r>
      <w:r w:rsidRPr="00CA2C15">
        <w:rPr>
          <w:rFonts w:ascii="Calibri" w:eastAsia="Arial" w:hAnsi="Calibri" w:cs="Calibri"/>
          <w:color w:val="000000"/>
          <w:sz w:val="24"/>
          <w:szCs w:val="24"/>
        </w:rPr>
        <w:t xml:space="preserve"> must consider at an early stage whether cross-examination may be necessary and seek appropriate directions – para 64.</w:t>
      </w:r>
    </w:p>
    <w:p w14:paraId="3DB28C1B" w14:textId="44324E6E"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z w:val="24"/>
          <w:szCs w:val="24"/>
        </w:rPr>
        <w:t>Examples</w:t>
      </w:r>
      <w:r w:rsidRPr="00CA2C15">
        <w:rPr>
          <w:rFonts w:ascii="Calibri" w:eastAsia="Arial" w:hAnsi="Calibri" w:cs="Calibri"/>
          <w:color w:val="000000"/>
          <w:spacing w:val="-2"/>
          <w:sz w:val="24"/>
          <w:szCs w:val="24"/>
        </w:rPr>
        <w:t xml:space="preserve"> of cases where applications to cross-examine may be allowed are:</w:t>
      </w:r>
      <w:r w:rsidR="00B6679B" w:rsidRPr="00CA2C15">
        <w:rPr>
          <w:rFonts w:ascii="Calibri" w:eastAsia="Arial" w:hAnsi="Calibri" w:cs="Calibri"/>
          <w:color w:val="000000"/>
          <w:spacing w:val="-2"/>
          <w:sz w:val="24"/>
          <w:szCs w:val="24"/>
        </w:rPr>
        <w:t xml:space="preserve"> </w:t>
      </w:r>
      <w:r w:rsidRPr="00CA2C15">
        <w:rPr>
          <w:rFonts w:ascii="Calibri" w:eastAsia="Arial" w:hAnsi="Calibri" w:cs="Calibri"/>
          <w:color w:val="000000"/>
          <w:spacing w:val="-2"/>
          <w:sz w:val="24"/>
          <w:szCs w:val="24"/>
        </w:rPr>
        <w:t>(a) The court has to reach a conclusion on disputed issues of fact, for example:</w:t>
      </w:r>
    </w:p>
    <w:p w14:paraId="05B5B836" w14:textId="1E85C278" w:rsidR="00B935ED" w:rsidRPr="00CA2C15" w:rsidRDefault="00B935ED" w:rsidP="005F4704">
      <w:pPr>
        <w:numPr>
          <w:ilvl w:val="0"/>
          <w:numId w:val="42"/>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 </w:t>
      </w:r>
      <w:r w:rsidRPr="00CA2C15">
        <w:rPr>
          <w:rFonts w:ascii="Calibri" w:eastAsia="Times New Roman" w:hAnsi="Calibri" w:cs="Calibri"/>
          <w:sz w:val="24"/>
          <w:szCs w:val="20"/>
          <w:lang w:val="en-GB"/>
        </w:rPr>
        <w:t>question</w:t>
      </w:r>
      <w:r w:rsidRPr="00CA2C15">
        <w:rPr>
          <w:rFonts w:ascii="Calibri" w:eastAsia="Arial" w:hAnsi="Calibri" w:cs="Calibri"/>
          <w:color w:val="000000"/>
          <w:sz w:val="24"/>
          <w:szCs w:val="24"/>
        </w:rPr>
        <w:t xml:space="preserve"> of collateral fact or where there is a dispute as to the procedure that was actually followed (see e.g. </w:t>
      </w:r>
      <w:r w:rsidRPr="00CA2C15">
        <w:rPr>
          <w:rFonts w:ascii="Calibri" w:eastAsia="Arial" w:hAnsi="Calibri" w:cs="Calibri"/>
          <w:i/>
          <w:iCs/>
          <w:color w:val="000000"/>
          <w:sz w:val="24"/>
          <w:szCs w:val="24"/>
        </w:rPr>
        <w:t>R (Bancoult) v. Secretary of State for Foreign &amp;Commonwealth Affairs</w:t>
      </w:r>
      <w:r w:rsidRPr="00CA2C15">
        <w:rPr>
          <w:rFonts w:ascii="Calibri" w:eastAsia="Arial" w:hAnsi="Calibri" w:cs="Calibri"/>
          <w:color w:val="000000"/>
          <w:sz w:val="24"/>
          <w:szCs w:val="24"/>
        </w:rPr>
        <w:t xml:space="preserve"> [2012] EWHC 2115 (Admin). Even in this case the Court retains a discretion and may resolve the issues on the papers (</w:t>
      </w:r>
      <w:r w:rsidRPr="00CA2C15">
        <w:rPr>
          <w:rFonts w:ascii="Calibri" w:eastAsia="Arial" w:hAnsi="Calibri" w:cs="Calibri"/>
          <w:i/>
          <w:iCs/>
          <w:color w:val="000000"/>
          <w:sz w:val="24"/>
          <w:szCs w:val="24"/>
        </w:rPr>
        <w:t>R v. CC Thames  Valley, ex p. Cotton</w:t>
      </w:r>
      <w:r w:rsidRPr="00CA2C15">
        <w:rPr>
          <w:rFonts w:ascii="Calibri" w:eastAsia="Arial" w:hAnsi="Calibri" w:cs="Calibri"/>
          <w:color w:val="000000"/>
          <w:sz w:val="24"/>
          <w:szCs w:val="24"/>
        </w:rPr>
        <w:t xml:space="preserve"> [1989] COD 318).</w:t>
      </w:r>
    </w:p>
    <w:p w14:paraId="59E28CB6" w14:textId="77777777" w:rsidR="0000655A" w:rsidRPr="00CA2C15" w:rsidRDefault="00B935ED" w:rsidP="005F4704">
      <w:pPr>
        <w:numPr>
          <w:ilvl w:val="0"/>
          <w:numId w:val="42"/>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where fundamental human rights are at stake and the court has to review the merits of the decision – for example questions as to the compulsory treatment of a detained </w:t>
      </w:r>
      <w:r w:rsidRPr="00CA2C15">
        <w:rPr>
          <w:rFonts w:ascii="Calibri" w:eastAsia="Times New Roman" w:hAnsi="Calibri" w:cs="Calibri"/>
          <w:sz w:val="24"/>
          <w:szCs w:val="20"/>
          <w:lang w:val="en-GB"/>
        </w:rPr>
        <w:t>patient</w:t>
      </w:r>
      <w:r w:rsidRPr="00CA2C15">
        <w:rPr>
          <w:rFonts w:ascii="Calibri" w:eastAsia="Arial" w:hAnsi="Calibri" w:cs="Calibri"/>
          <w:color w:val="000000"/>
          <w:sz w:val="24"/>
          <w:szCs w:val="24"/>
        </w:rPr>
        <w:t xml:space="preserve"> - </w:t>
      </w:r>
      <w:r w:rsidRPr="00CA2C15">
        <w:rPr>
          <w:rFonts w:ascii="Calibri" w:eastAsia="Arial" w:hAnsi="Calibri" w:cs="Calibri"/>
          <w:i/>
          <w:iCs/>
          <w:color w:val="000000"/>
          <w:sz w:val="24"/>
          <w:szCs w:val="24"/>
        </w:rPr>
        <w:t>R (Wilkinson) v. RMO Broadmoor Hospital</w:t>
      </w:r>
      <w:r w:rsidRPr="00CA2C15">
        <w:rPr>
          <w:rFonts w:ascii="Calibri" w:eastAsia="Arial" w:hAnsi="Calibri" w:cs="Calibri"/>
          <w:color w:val="000000"/>
          <w:sz w:val="24"/>
          <w:szCs w:val="24"/>
        </w:rPr>
        <w:t xml:space="preserve"> [2002] 1 WLR 419</w:t>
      </w:r>
    </w:p>
    <w:p w14:paraId="17530528" w14:textId="77777777" w:rsidR="000B0F12" w:rsidRPr="00CA2C15" w:rsidRDefault="00B935ED" w:rsidP="005F4704">
      <w:pPr>
        <w:numPr>
          <w:ilvl w:val="0"/>
          <w:numId w:val="42"/>
        </w:numPr>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where </w:t>
      </w:r>
      <w:r w:rsidRPr="00CA2C15">
        <w:rPr>
          <w:rFonts w:ascii="Calibri" w:eastAsia="Times New Roman" w:hAnsi="Calibri" w:cs="Calibri"/>
          <w:sz w:val="24"/>
          <w:szCs w:val="20"/>
          <w:lang w:val="en-GB"/>
        </w:rPr>
        <w:t>there</w:t>
      </w:r>
      <w:r w:rsidRPr="00CA2C15">
        <w:rPr>
          <w:rFonts w:ascii="Calibri" w:eastAsia="Arial" w:hAnsi="Calibri" w:cs="Calibri"/>
          <w:color w:val="000000"/>
          <w:sz w:val="24"/>
          <w:szCs w:val="24"/>
        </w:rPr>
        <w:t xml:space="preserve"> is disputed allegation of a human rights breach raising a hard-edged question of fact as to whether human rights are engaged at all. In </w:t>
      </w:r>
      <w:r w:rsidRPr="00CA2C15">
        <w:rPr>
          <w:rFonts w:ascii="Calibri" w:eastAsia="Arial" w:hAnsi="Calibri" w:cs="Calibri"/>
          <w:color w:val="000000"/>
          <w:sz w:val="24"/>
          <w:szCs w:val="24"/>
          <w:u w:val="single"/>
        </w:rPr>
        <w:t>Al Sweady</w:t>
      </w:r>
      <w:r w:rsidRPr="00CA2C15">
        <w:rPr>
          <w:rFonts w:ascii="Calibri" w:eastAsia="Arial" w:hAnsi="Calibri" w:cs="Calibri"/>
          <w:color w:val="000000"/>
          <w:sz w:val="24"/>
          <w:szCs w:val="24"/>
        </w:rPr>
        <w:t xml:space="preserve"> (above) at para 19 the court said:</w:t>
      </w:r>
    </w:p>
    <w:p w14:paraId="0E964CA1" w14:textId="77777777" w:rsidR="000B0F12" w:rsidRPr="00CA2C15" w:rsidRDefault="00B935ED" w:rsidP="000B0F12">
      <w:pPr>
        <w:spacing w:after="240" w:line="360" w:lineRule="auto"/>
        <w:ind w:left="2160"/>
        <w:jc w:val="both"/>
        <w:rPr>
          <w:rFonts w:ascii="Calibri" w:eastAsia="Arial" w:hAnsi="Calibri" w:cs="Calibri"/>
          <w:color w:val="000000"/>
        </w:rPr>
      </w:pPr>
      <w:r w:rsidRPr="00CA2C15">
        <w:rPr>
          <w:rFonts w:ascii="Calibri" w:eastAsia="Arial" w:hAnsi="Calibri" w:cs="Calibri"/>
          <w:i/>
          <w:color w:val="000000"/>
          <w:spacing w:val="-2"/>
        </w:rPr>
        <w:t>“In our view, it was necessary to allow cross-examination of makers of witness statements on those “hard-edged” questions of fact. We envisage that such cross-examination might occur with increasing regularity in cases where there are crucial factual disputes between the parties relating to jurisdiction of the ECHR and the engagement of its articles”.</w:t>
      </w:r>
      <w:r w:rsidR="000B0F12" w:rsidRPr="00CA2C15">
        <w:rPr>
          <w:rFonts w:ascii="Calibri" w:eastAsia="Arial" w:hAnsi="Calibri" w:cs="Calibri"/>
          <w:color w:val="000000"/>
        </w:rPr>
        <w:t xml:space="preserve"> </w:t>
      </w:r>
    </w:p>
    <w:p w14:paraId="435AF537" w14:textId="7C2E12DB" w:rsidR="00B935ED" w:rsidRPr="00CA2C15" w:rsidRDefault="00B935ED" w:rsidP="000B0F12">
      <w:pPr>
        <w:spacing w:after="240" w:line="360" w:lineRule="auto"/>
        <w:ind w:left="2160"/>
        <w:jc w:val="both"/>
        <w:rPr>
          <w:rFonts w:ascii="Calibri" w:eastAsia="Arial" w:hAnsi="Calibri" w:cs="Calibri"/>
          <w:color w:val="000000"/>
          <w:sz w:val="24"/>
          <w:szCs w:val="24"/>
        </w:rPr>
      </w:pPr>
      <w:r w:rsidRPr="00CA2C15">
        <w:rPr>
          <w:rFonts w:ascii="Calibri" w:eastAsia="Arial" w:hAnsi="Calibri" w:cs="Calibri"/>
          <w:color w:val="000000"/>
          <w:spacing w:val="-1"/>
          <w:sz w:val="24"/>
          <w:szCs w:val="24"/>
        </w:rPr>
        <w:t>Issues of fact in that case were:</w:t>
      </w:r>
    </w:p>
    <w:p w14:paraId="09E97EBE" w14:textId="77777777" w:rsidR="0000655A" w:rsidRPr="00CA2C15" w:rsidRDefault="00B935ED" w:rsidP="004916C0">
      <w:pPr>
        <w:pStyle w:val="ListParagraph"/>
        <w:numPr>
          <w:ilvl w:val="0"/>
          <w:numId w:val="17"/>
        </w:numPr>
        <w:spacing w:after="240" w:line="360" w:lineRule="auto"/>
        <w:jc w:val="both"/>
        <w:textAlignment w:val="baseline"/>
        <w:rPr>
          <w:rFonts w:ascii="Calibri" w:eastAsia="Arial" w:hAnsi="Calibri" w:cs="Calibri"/>
          <w:color w:val="000000"/>
          <w:sz w:val="24"/>
          <w:szCs w:val="24"/>
        </w:rPr>
      </w:pPr>
      <w:r w:rsidRPr="00CA2C15">
        <w:rPr>
          <w:rFonts w:ascii="Calibri" w:eastAsia="Arial" w:hAnsi="Calibri" w:cs="Calibri"/>
          <w:color w:val="000000"/>
          <w:sz w:val="24"/>
          <w:szCs w:val="24"/>
        </w:rPr>
        <w:t>Where had Al Sweady been killed? The applicability of Art 2 depended on this.</w:t>
      </w:r>
    </w:p>
    <w:p w14:paraId="5CFC3208" w14:textId="16D70E1D" w:rsidR="00B935ED" w:rsidRPr="00CA2C15" w:rsidRDefault="00B935ED" w:rsidP="004916C0">
      <w:pPr>
        <w:pStyle w:val="ListParagraph"/>
        <w:numPr>
          <w:ilvl w:val="0"/>
          <w:numId w:val="17"/>
        </w:numPr>
        <w:spacing w:after="240" w:line="360" w:lineRule="auto"/>
        <w:jc w:val="both"/>
        <w:textAlignment w:val="baseline"/>
        <w:rPr>
          <w:rFonts w:ascii="Calibri" w:eastAsia="Arial" w:hAnsi="Calibri" w:cs="Calibri"/>
          <w:color w:val="000000"/>
          <w:sz w:val="24"/>
          <w:szCs w:val="24"/>
        </w:rPr>
      </w:pPr>
      <w:r w:rsidRPr="00CA2C15">
        <w:rPr>
          <w:rFonts w:ascii="Calibri" w:eastAsia="Arial" w:hAnsi="Calibri" w:cs="Calibri"/>
          <w:color w:val="000000"/>
          <w:sz w:val="24"/>
          <w:szCs w:val="24"/>
        </w:rPr>
        <w:t>Had the Claimants been subjected to ill treatment in a way that infringed their Art 3</w:t>
      </w:r>
      <w:r w:rsidR="0000655A" w:rsidRPr="00CA2C15">
        <w:rPr>
          <w:rFonts w:ascii="Calibri" w:eastAsia="Arial" w:hAnsi="Calibri" w:cs="Calibri"/>
          <w:color w:val="000000"/>
          <w:sz w:val="24"/>
          <w:szCs w:val="24"/>
        </w:rPr>
        <w:t xml:space="preserve"> </w:t>
      </w:r>
      <w:r w:rsidRPr="00CA2C15">
        <w:rPr>
          <w:rFonts w:ascii="Calibri" w:eastAsia="Arial" w:hAnsi="Calibri" w:cs="Calibri"/>
          <w:color w:val="000000"/>
          <w:spacing w:val="-2"/>
          <w:sz w:val="24"/>
          <w:szCs w:val="24"/>
        </w:rPr>
        <w:t>rights?</w:t>
      </w:r>
    </w:p>
    <w:p w14:paraId="0A73FB76" w14:textId="437A60DE" w:rsidR="00B935ED" w:rsidRPr="00CA2C15" w:rsidRDefault="00B935ED" w:rsidP="004916C0">
      <w:pPr>
        <w:pStyle w:val="ListParagraph"/>
        <w:numPr>
          <w:ilvl w:val="0"/>
          <w:numId w:val="17"/>
        </w:numPr>
        <w:spacing w:after="240" w:line="360" w:lineRule="auto"/>
        <w:jc w:val="both"/>
        <w:textAlignment w:val="baseline"/>
        <w:rPr>
          <w:rFonts w:ascii="Calibri" w:eastAsia="Arial" w:hAnsi="Calibri" w:cs="Calibri"/>
          <w:color w:val="000000"/>
          <w:sz w:val="24"/>
          <w:szCs w:val="24"/>
        </w:rPr>
      </w:pPr>
      <w:r w:rsidRPr="00CA2C15">
        <w:rPr>
          <w:rFonts w:ascii="Calibri" w:eastAsia="Arial" w:hAnsi="Calibri" w:cs="Calibri"/>
          <w:color w:val="000000"/>
          <w:sz w:val="24"/>
          <w:szCs w:val="24"/>
        </w:rPr>
        <w:t>Was detention of some of the Claimants justified for the purposes of Article 5? Were</w:t>
      </w:r>
      <w:r w:rsidR="0000655A"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they held for imperative reasons of security?</w:t>
      </w:r>
    </w:p>
    <w:p w14:paraId="12C9863D" w14:textId="2A3AA60A" w:rsidR="00B935ED" w:rsidRPr="00CA2C15" w:rsidRDefault="00B935ED" w:rsidP="004916C0">
      <w:pPr>
        <w:pStyle w:val="ListParagraph"/>
        <w:numPr>
          <w:ilvl w:val="0"/>
          <w:numId w:val="17"/>
        </w:numPr>
        <w:spacing w:after="240" w:line="360" w:lineRule="auto"/>
        <w:jc w:val="both"/>
        <w:textAlignment w:val="baseline"/>
        <w:rPr>
          <w:rFonts w:ascii="Calibri" w:eastAsia="Arial" w:hAnsi="Calibri" w:cs="Calibri"/>
          <w:color w:val="000000"/>
          <w:sz w:val="24"/>
          <w:szCs w:val="24"/>
        </w:rPr>
      </w:pPr>
      <w:r w:rsidRPr="00CA2C15">
        <w:rPr>
          <w:rFonts w:ascii="Calibri" w:eastAsia="Arial" w:hAnsi="Calibri" w:cs="Calibri"/>
          <w:color w:val="000000"/>
          <w:sz w:val="24"/>
          <w:szCs w:val="24"/>
        </w:rPr>
        <w:t>Would the Claimants be subjected to ill treatment if handed over to the Iraqi</w:t>
      </w:r>
      <w:r w:rsidR="00977886"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authorities?</w:t>
      </w:r>
    </w:p>
    <w:p w14:paraId="582F85DC" w14:textId="22FEC5FE"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Recent cases have suggested that a more relaxed approach to ordering cross-</w:t>
      </w:r>
      <w:r w:rsidRPr="00CA2C15">
        <w:rPr>
          <w:rFonts w:ascii="Calibri" w:eastAsia="Times New Roman" w:hAnsi="Calibri" w:cs="Calibri"/>
          <w:sz w:val="24"/>
          <w:szCs w:val="20"/>
          <w:lang w:val="en-GB"/>
        </w:rPr>
        <w:t>examination</w:t>
      </w:r>
      <w:r w:rsidRPr="00CA2C15">
        <w:rPr>
          <w:rFonts w:ascii="Calibri" w:eastAsia="Arial" w:hAnsi="Calibri" w:cs="Calibri"/>
          <w:color w:val="000000"/>
          <w:sz w:val="24"/>
          <w:szCs w:val="24"/>
        </w:rPr>
        <w:t xml:space="preserve"> is not confined to cases concerning fundamental human rights:</w:t>
      </w:r>
    </w:p>
    <w:p w14:paraId="1EA519EB" w14:textId="7ECFA8E5" w:rsidR="00D90778" w:rsidRPr="00CA2C15" w:rsidRDefault="00B935ED" w:rsidP="00D90778">
      <w:pPr>
        <w:pStyle w:val="ListParagraph"/>
        <w:numPr>
          <w:ilvl w:val="0"/>
          <w:numId w:val="18"/>
        </w:numPr>
        <w:spacing w:after="160" w:line="360" w:lineRule="auto"/>
        <w:jc w:val="both"/>
        <w:rPr>
          <w:rFonts w:ascii="Calibri" w:eastAsia="Arial" w:hAnsi="Calibri" w:cs="Calibri"/>
          <w:color w:val="000000"/>
          <w:sz w:val="24"/>
          <w:szCs w:val="24"/>
        </w:rPr>
      </w:pPr>
      <w:r w:rsidRPr="00CA2C15">
        <w:rPr>
          <w:rFonts w:ascii="Calibri" w:eastAsia="Arial" w:hAnsi="Calibri" w:cs="Calibri"/>
          <w:i/>
          <w:iCs/>
          <w:color w:val="000000"/>
          <w:sz w:val="24"/>
          <w:szCs w:val="24"/>
        </w:rPr>
        <w:t xml:space="preserve">R (MH) v. SSHD </w:t>
      </w:r>
      <w:r w:rsidRPr="00CA2C15">
        <w:rPr>
          <w:rFonts w:ascii="Calibri" w:eastAsia="Arial" w:hAnsi="Calibri" w:cs="Calibri"/>
          <w:color w:val="000000"/>
          <w:sz w:val="24"/>
          <w:szCs w:val="24"/>
        </w:rPr>
        <w:t>[2009] EWHC 2506 (Admin) Sales J:</w:t>
      </w:r>
    </w:p>
    <w:p w14:paraId="0EF252AE" w14:textId="7C14611A" w:rsidR="00D90778" w:rsidRPr="00CA2C15" w:rsidRDefault="00B935ED" w:rsidP="006525A9">
      <w:pPr>
        <w:pStyle w:val="ListParagraph"/>
        <w:spacing w:after="160" w:line="360" w:lineRule="auto"/>
        <w:ind w:left="1211"/>
        <w:jc w:val="both"/>
        <w:rPr>
          <w:rFonts w:ascii="Calibri" w:eastAsia="Arial" w:hAnsi="Calibri" w:cs="Calibri"/>
          <w:color w:val="000000"/>
        </w:rPr>
      </w:pPr>
      <w:r w:rsidRPr="00CA2C15">
        <w:rPr>
          <w:rFonts w:ascii="Calibri" w:eastAsia="Arial" w:hAnsi="Calibri" w:cs="Calibri"/>
          <w:color w:val="000000"/>
        </w:rPr>
        <w:t>“The fact that a claim (such as a claim in tort) happens to be brought using the procedure in Part 54 does not mean that ordinary procedures employed by the courts for resolving substantial disputes of fact (including cross-examination) are not to be applied”</w:t>
      </w:r>
    </w:p>
    <w:p w14:paraId="495FA691" w14:textId="77777777" w:rsidR="006525A9" w:rsidRPr="00CA2C15" w:rsidRDefault="006525A9" w:rsidP="006525A9">
      <w:pPr>
        <w:pStyle w:val="ListParagraph"/>
        <w:spacing w:after="160" w:line="360" w:lineRule="auto"/>
        <w:ind w:left="1211"/>
        <w:jc w:val="both"/>
        <w:rPr>
          <w:rFonts w:ascii="Calibri" w:eastAsia="Arial" w:hAnsi="Calibri" w:cs="Calibri"/>
          <w:color w:val="000000"/>
        </w:rPr>
      </w:pPr>
    </w:p>
    <w:p w14:paraId="02C02065" w14:textId="77777777" w:rsidR="00B935ED" w:rsidRPr="00CA2C15" w:rsidRDefault="00B935ED" w:rsidP="004916C0">
      <w:pPr>
        <w:pStyle w:val="ListParagraph"/>
        <w:numPr>
          <w:ilvl w:val="0"/>
          <w:numId w:val="18"/>
        </w:numPr>
        <w:spacing w:after="160" w:line="360" w:lineRule="auto"/>
        <w:jc w:val="both"/>
        <w:rPr>
          <w:rFonts w:ascii="Calibri" w:eastAsia="Arial" w:hAnsi="Calibri" w:cs="Calibri"/>
          <w:color w:val="000000"/>
          <w:sz w:val="24"/>
          <w:szCs w:val="24"/>
        </w:rPr>
      </w:pPr>
      <w:r w:rsidRPr="00CA2C15">
        <w:rPr>
          <w:rFonts w:ascii="Calibri" w:eastAsia="Arial" w:hAnsi="Calibri" w:cs="Calibri"/>
          <w:i/>
          <w:iCs/>
          <w:color w:val="000000"/>
          <w:sz w:val="24"/>
          <w:szCs w:val="24"/>
        </w:rPr>
        <w:t>R (Mc Vey) v. Secretary of State for Health</w:t>
      </w:r>
      <w:r w:rsidRPr="00CA2C15">
        <w:rPr>
          <w:rFonts w:ascii="Calibri" w:eastAsia="Arial" w:hAnsi="Calibri" w:cs="Calibri"/>
          <w:color w:val="000000"/>
          <w:sz w:val="24"/>
          <w:szCs w:val="24"/>
        </w:rPr>
        <w:t xml:space="preserve"> [2010] CP Rep 38 – a case involving whether the Defendant had acted to amend a VCJD scheme when so advised by trustees. No application for cross-examination was made but Silber J stated as a general rule:</w:t>
      </w:r>
    </w:p>
    <w:p w14:paraId="4CDEA005" w14:textId="3299CBB4" w:rsidR="00D90778" w:rsidRPr="00CA2C15" w:rsidRDefault="00B935ED" w:rsidP="005F4704">
      <w:pPr>
        <w:pStyle w:val="ListParagraph"/>
        <w:spacing w:after="160" w:line="360" w:lineRule="auto"/>
        <w:ind w:left="1211"/>
        <w:jc w:val="both"/>
        <w:rPr>
          <w:rFonts w:ascii="Calibri" w:eastAsia="Arial" w:hAnsi="Calibri" w:cs="Calibri"/>
          <w:color w:val="000000"/>
        </w:rPr>
      </w:pPr>
      <w:r w:rsidRPr="00CA2C15">
        <w:rPr>
          <w:rFonts w:ascii="Calibri" w:eastAsia="Arial" w:hAnsi="Calibri" w:cs="Calibri"/>
          <w:color w:val="000000"/>
          <w:sz w:val="24"/>
          <w:szCs w:val="24"/>
        </w:rPr>
        <w:t>“</w:t>
      </w:r>
      <w:r w:rsidRPr="00CA2C15">
        <w:rPr>
          <w:rFonts w:ascii="Calibri" w:eastAsia="Arial" w:hAnsi="Calibri" w:cs="Calibri"/>
          <w:color w:val="000000"/>
        </w:rPr>
        <w:t>The proper course for a Claimant who wishes to challenge the correctness of an important aspect of the defendant's evidence relating to a factual matter on which the judge will have to make a critical factual finding is to apply to cross- examine the maker of the witness statement on which the defendant relies”.</w:t>
      </w:r>
    </w:p>
    <w:p w14:paraId="18FDDB75" w14:textId="77777777" w:rsidR="005F4704" w:rsidRPr="00CA2C15" w:rsidRDefault="005F4704" w:rsidP="005F4704">
      <w:pPr>
        <w:pStyle w:val="ListParagraph"/>
        <w:spacing w:after="160" w:line="360" w:lineRule="auto"/>
        <w:ind w:left="1211"/>
        <w:jc w:val="both"/>
        <w:rPr>
          <w:rFonts w:ascii="Calibri" w:eastAsia="Arial" w:hAnsi="Calibri" w:cs="Calibri"/>
          <w:color w:val="000000"/>
        </w:rPr>
      </w:pPr>
    </w:p>
    <w:p w14:paraId="2AC5E558" w14:textId="280013BD" w:rsidR="006525A9" w:rsidRPr="00CA2C15" w:rsidRDefault="00B935ED" w:rsidP="00853003">
      <w:pPr>
        <w:pStyle w:val="ListParagraph"/>
        <w:numPr>
          <w:ilvl w:val="0"/>
          <w:numId w:val="18"/>
        </w:numPr>
        <w:spacing w:after="160" w:line="360" w:lineRule="auto"/>
        <w:jc w:val="both"/>
        <w:rPr>
          <w:rFonts w:ascii="Calibri" w:eastAsia="Arial" w:hAnsi="Calibri" w:cs="Calibri"/>
          <w:color w:val="000000"/>
          <w:sz w:val="24"/>
          <w:szCs w:val="24"/>
        </w:rPr>
      </w:pPr>
      <w:r w:rsidRPr="00CA2C15">
        <w:rPr>
          <w:rFonts w:ascii="Calibri" w:eastAsia="Arial" w:hAnsi="Calibri" w:cs="Calibri"/>
          <w:i/>
          <w:iCs/>
          <w:color w:val="000000"/>
          <w:sz w:val="24"/>
          <w:szCs w:val="24"/>
        </w:rPr>
        <w:t>R (Shoesmith) v. OFSTED and others</w:t>
      </w:r>
      <w:r w:rsidRPr="00CA2C15">
        <w:rPr>
          <w:rFonts w:ascii="Calibri" w:eastAsia="Arial" w:hAnsi="Calibri" w:cs="Calibri"/>
          <w:color w:val="000000"/>
          <w:sz w:val="24"/>
          <w:szCs w:val="24"/>
        </w:rPr>
        <w:t xml:space="preserve"> [2010] EWHC 852 (Admin). The question whether the </w:t>
      </w:r>
      <w:r w:rsidR="00CA5D7F"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had had an adequate opportunity to address concerns may be an issue for cross-examination.</w:t>
      </w:r>
    </w:p>
    <w:p w14:paraId="27F8DCA2" w14:textId="7585D83F" w:rsidR="00B935ED" w:rsidRPr="00CA2C15" w:rsidRDefault="00B935ED" w:rsidP="000B0F12">
      <w:pPr>
        <w:spacing w:after="240" w:line="360" w:lineRule="auto"/>
        <w:ind w:left="144" w:firstLine="576"/>
        <w:jc w:val="both"/>
        <w:textAlignment w:val="baseline"/>
        <w:rPr>
          <w:rFonts w:ascii="Calibri" w:eastAsia="Arial" w:hAnsi="Calibri" w:cs="Calibri"/>
          <w:b/>
          <w:color w:val="000000"/>
          <w:spacing w:val="-1"/>
          <w:sz w:val="24"/>
          <w:szCs w:val="24"/>
        </w:rPr>
      </w:pPr>
      <w:r w:rsidRPr="00CA2C15">
        <w:rPr>
          <w:rFonts w:ascii="Calibri" w:eastAsia="Arial" w:hAnsi="Calibri" w:cs="Calibri"/>
          <w:b/>
          <w:color w:val="000000"/>
          <w:spacing w:val="-1"/>
          <w:sz w:val="24"/>
          <w:szCs w:val="24"/>
        </w:rPr>
        <w:t>Further information</w:t>
      </w:r>
    </w:p>
    <w:p w14:paraId="2E2F4DAF" w14:textId="77777777" w:rsidR="0088049A"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Under CPR Part 18</w:t>
      </w:r>
    </w:p>
    <w:p w14:paraId="2ADFD7F2" w14:textId="00E8919C" w:rsidR="0088049A" w:rsidRPr="00CA2C15" w:rsidRDefault="004B0351" w:rsidP="0088049A">
      <w:pPr>
        <w:spacing w:after="240" w:line="360" w:lineRule="auto"/>
        <w:ind w:left="720"/>
        <w:jc w:val="both"/>
        <w:rPr>
          <w:rFonts w:ascii="Calibri" w:eastAsia="Arial" w:hAnsi="Calibri" w:cs="Calibri"/>
          <w:color w:val="000000"/>
        </w:rPr>
      </w:pPr>
      <w:r w:rsidRPr="00CA2C15">
        <w:rPr>
          <w:rFonts w:ascii="Calibri" w:eastAsia="Arial" w:hAnsi="Calibri" w:cs="Calibri"/>
          <w:color w:val="000000"/>
          <w:sz w:val="24"/>
          <w:szCs w:val="24"/>
        </w:rPr>
        <w:t>(1)</w:t>
      </w:r>
      <w:r w:rsidR="0088049A" w:rsidRPr="00CA2C15">
        <w:rPr>
          <w:rFonts w:ascii="Calibri" w:eastAsia="Arial" w:hAnsi="Calibri" w:cs="Calibri"/>
          <w:color w:val="000000"/>
        </w:rPr>
        <w:tab/>
        <w:t>The</w:t>
      </w:r>
      <w:r w:rsidR="00B935ED" w:rsidRPr="00CA2C15">
        <w:rPr>
          <w:rFonts w:ascii="Calibri" w:eastAsia="Arial" w:hAnsi="Calibri" w:cs="Calibri"/>
          <w:color w:val="000000"/>
        </w:rPr>
        <w:t xml:space="preserve"> court may </w:t>
      </w:r>
      <w:r w:rsidR="0088049A" w:rsidRPr="00CA2C15">
        <w:rPr>
          <w:rFonts w:ascii="Calibri" w:eastAsia="Arial" w:hAnsi="Calibri" w:cs="Calibri"/>
          <w:color w:val="000000"/>
        </w:rPr>
        <w:t>at any time order</w:t>
      </w:r>
      <w:r w:rsidR="00B935ED" w:rsidRPr="00CA2C15">
        <w:rPr>
          <w:rFonts w:ascii="Calibri" w:eastAsia="Arial" w:hAnsi="Calibri" w:cs="Calibri"/>
          <w:color w:val="000000"/>
        </w:rPr>
        <w:t xml:space="preserve"> a party to </w:t>
      </w:r>
    </w:p>
    <w:p w14:paraId="504BE717" w14:textId="7526BAA0" w:rsidR="0088049A" w:rsidRPr="00CA2C15" w:rsidRDefault="00B935ED" w:rsidP="0088049A">
      <w:pPr>
        <w:spacing w:after="240" w:line="360" w:lineRule="auto"/>
        <w:ind w:left="720" w:firstLine="720"/>
        <w:jc w:val="both"/>
        <w:rPr>
          <w:rFonts w:ascii="Calibri" w:eastAsia="Arial" w:hAnsi="Calibri" w:cs="Calibri"/>
          <w:color w:val="000000"/>
        </w:rPr>
      </w:pPr>
      <w:r w:rsidRPr="00CA2C15">
        <w:rPr>
          <w:rFonts w:ascii="Calibri" w:eastAsia="Arial" w:hAnsi="Calibri" w:cs="Calibri"/>
          <w:color w:val="000000"/>
        </w:rPr>
        <w:t>(a) clarify any matter which is in dispute in the proceedings</w:t>
      </w:r>
      <w:r w:rsidR="0088049A" w:rsidRPr="00CA2C15">
        <w:rPr>
          <w:rFonts w:ascii="Calibri" w:eastAsia="Arial" w:hAnsi="Calibri" w:cs="Calibri"/>
          <w:color w:val="000000"/>
        </w:rPr>
        <w:t>;</w:t>
      </w:r>
      <w:r w:rsidRPr="00CA2C15">
        <w:rPr>
          <w:rFonts w:ascii="Calibri" w:eastAsia="Arial" w:hAnsi="Calibri" w:cs="Calibri"/>
          <w:color w:val="000000"/>
        </w:rPr>
        <w:t xml:space="preserve"> or</w:t>
      </w:r>
    </w:p>
    <w:p w14:paraId="72770C71" w14:textId="69D28BBA" w:rsidR="0088049A" w:rsidRPr="00CA2C15" w:rsidRDefault="00B935ED" w:rsidP="0088049A">
      <w:pPr>
        <w:spacing w:after="240" w:line="360" w:lineRule="auto"/>
        <w:ind w:left="720" w:firstLine="720"/>
        <w:jc w:val="both"/>
        <w:rPr>
          <w:rFonts w:ascii="Calibri" w:eastAsia="Arial" w:hAnsi="Calibri" w:cs="Calibri"/>
          <w:color w:val="000000"/>
        </w:rPr>
      </w:pPr>
      <w:r w:rsidRPr="00CA2C15">
        <w:rPr>
          <w:rFonts w:ascii="Calibri" w:eastAsia="Arial" w:hAnsi="Calibri" w:cs="Calibri"/>
          <w:color w:val="000000"/>
        </w:rPr>
        <w:t>(b) give additional information in relation to any such matter</w:t>
      </w:r>
      <w:r w:rsidR="0088049A" w:rsidRPr="00CA2C15">
        <w:rPr>
          <w:rFonts w:ascii="Calibri" w:eastAsia="Arial" w:hAnsi="Calibri" w:cs="Calibri"/>
          <w:color w:val="000000"/>
        </w:rPr>
        <w:t>,</w:t>
      </w:r>
    </w:p>
    <w:p w14:paraId="0CF52F9F" w14:textId="4D4750D6" w:rsidR="00861106" w:rsidRPr="00CA2C15" w:rsidRDefault="00B935ED" w:rsidP="0088049A">
      <w:pPr>
        <w:spacing w:after="240" w:line="360" w:lineRule="auto"/>
        <w:ind w:left="720" w:firstLine="720"/>
        <w:jc w:val="both"/>
        <w:rPr>
          <w:rFonts w:ascii="Calibri" w:eastAsia="Arial" w:hAnsi="Calibri" w:cs="Calibri"/>
          <w:color w:val="000000"/>
        </w:rPr>
      </w:pPr>
      <w:r w:rsidRPr="00CA2C15">
        <w:rPr>
          <w:rFonts w:ascii="Calibri" w:eastAsia="Arial" w:hAnsi="Calibri" w:cs="Calibri"/>
          <w:color w:val="000000"/>
        </w:rPr>
        <w:t xml:space="preserve">whether or not the matter is contained or referred to in any case. </w:t>
      </w:r>
    </w:p>
    <w:p w14:paraId="1134EFEC" w14:textId="43F4FBA8" w:rsidR="00B935ED" w:rsidRPr="00CA2C15" w:rsidRDefault="00B935ED" w:rsidP="00E36EC3">
      <w:pPr>
        <w:pStyle w:val="ListParagraph"/>
        <w:numPr>
          <w:ilvl w:val="0"/>
          <w:numId w:val="4"/>
        </w:numPr>
        <w:spacing w:after="240" w:line="360" w:lineRule="auto"/>
        <w:ind w:left="709" w:hanging="709"/>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Where </w:t>
      </w:r>
      <w:r w:rsidRPr="00CA2C15">
        <w:rPr>
          <w:rFonts w:ascii="Calibri" w:eastAsia="Times New Roman" w:hAnsi="Calibri" w:cs="Calibri"/>
          <w:sz w:val="24"/>
          <w:szCs w:val="20"/>
          <w:lang w:val="en-GB"/>
        </w:rPr>
        <w:t>such</w:t>
      </w:r>
      <w:r w:rsidRPr="00CA2C15">
        <w:rPr>
          <w:rFonts w:ascii="Calibri" w:eastAsia="Arial" w:hAnsi="Calibri" w:cs="Calibri"/>
          <w:color w:val="000000"/>
          <w:sz w:val="24"/>
          <w:szCs w:val="24"/>
        </w:rPr>
        <w:t xml:space="preserve"> an order is made, the party must file and serve a response within a specified timeframe (CPR 18.1(</w:t>
      </w:r>
      <w:r w:rsidR="0009238A" w:rsidRPr="00CA2C15">
        <w:rPr>
          <w:rFonts w:ascii="Calibri" w:eastAsia="Arial" w:hAnsi="Calibri" w:cs="Calibri"/>
          <w:color w:val="000000"/>
          <w:sz w:val="24"/>
          <w:szCs w:val="24"/>
        </w:rPr>
        <w:t>3</w:t>
      </w:r>
      <w:r w:rsidRPr="00CA2C15">
        <w:rPr>
          <w:rFonts w:ascii="Calibri" w:eastAsia="Arial" w:hAnsi="Calibri" w:cs="Calibri"/>
          <w:color w:val="000000"/>
          <w:sz w:val="24"/>
          <w:szCs w:val="24"/>
        </w:rPr>
        <w:t xml:space="preserve">)). The </w:t>
      </w:r>
      <w:r w:rsidR="00AF4F7E"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may direct that the information provided (voluntarily or following an order under CPR 18.1 must not be used for any purpose outside those proceedings (CPR 18.2). However, before applying for an order under Part 18, the party seeking clarification or information (the first party) should first serve on the party from whom it is sought (the second party) a written request stating a date by which the response to the request should be served and allowing a reasonable time for that response (CPR PD18, para. 1.1). Practice Direction 18 sets out the detail needed to be included in the first party’s request (para. 1.6) and in the second party’s response (para. 2.3). The second party must verify his response with a statement of truth (para. 3). In </w:t>
      </w:r>
      <w:r w:rsidRPr="00CA2C15">
        <w:rPr>
          <w:rFonts w:ascii="Calibri" w:eastAsia="Arial" w:hAnsi="Calibri" w:cs="Calibri"/>
          <w:i/>
          <w:iCs/>
          <w:color w:val="000000"/>
          <w:sz w:val="24"/>
          <w:szCs w:val="24"/>
        </w:rPr>
        <w:t>Bredenkamp</w:t>
      </w:r>
      <w:r w:rsidRPr="00CA2C15">
        <w:rPr>
          <w:rFonts w:ascii="Calibri" w:eastAsia="Arial" w:hAnsi="Calibri" w:cs="Calibri"/>
          <w:color w:val="000000"/>
          <w:sz w:val="24"/>
          <w:szCs w:val="24"/>
        </w:rPr>
        <w:t xml:space="preserve">, Dingemans J allowed (in part) an application for further information but said that such requests should be exceptional. It was common ground that the principles for disclosure set out in </w:t>
      </w:r>
      <w:r w:rsidRPr="00CA2C15">
        <w:rPr>
          <w:rFonts w:ascii="Calibri" w:eastAsia="Arial" w:hAnsi="Calibri" w:cs="Calibri"/>
          <w:i/>
          <w:iCs/>
          <w:color w:val="000000"/>
          <w:sz w:val="24"/>
          <w:szCs w:val="24"/>
        </w:rPr>
        <w:t>Tweed</w:t>
      </w:r>
      <w:r w:rsidRPr="00CA2C15">
        <w:rPr>
          <w:rFonts w:ascii="Calibri" w:eastAsia="Arial" w:hAnsi="Calibri" w:cs="Calibri"/>
          <w:color w:val="000000"/>
          <w:sz w:val="24"/>
          <w:szCs w:val="24"/>
        </w:rPr>
        <w:t xml:space="preserve"> should apply (paras 19-20).</w:t>
      </w:r>
    </w:p>
    <w:p w14:paraId="5A8655ED" w14:textId="46A669F3" w:rsidR="001C2229"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Even in the absence of a formal Part 18 request parties should liaise to clarify the issues in dispute, </w:t>
      </w:r>
      <w:r w:rsidRPr="00CA2C15">
        <w:rPr>
          <w:rFonts w:ascii="Calibri" w:eastAsia="Arial" w:hAnsi="Calibri" w:cs="Calibri"/>
          <w:color w:val="000000"/>
          <w:sz w:val="24"/>
          <w:szCs w:val="24"/>
        </w:rPr>
        <w:t>however</w:t>
      </w:r>
      <w:r w:rsidRPr="00CA2C15">
        <w:rPr>
          <w:rFonts w:ascii="Calibri" w:eastAsia="Arial" w:hAnsi="Calibri" w:cs="Calibri"/>
          <w:color w:val="000000"/>
          <w:spacing w:val="-2"/>
          <w:sz w:val="24"/>
          <w:szCs w:val="24"/>
        </w:rPr>
        <w:t xml:space="preserve"> Part 18 may be more effective at promptly eliciting information than informal requests and FOIA or GDPR requests. An example is in the </w:t>
      </w:r>
      <w:r w:rsidRPr="00CA2C15">
        <w:rPr>
          <w:rFonts w:ascii="Calibri" w:eastAsia="Times New Roman" w:hAnsi="Calibri" w:cs="Calibri"/>
          <w:sz w:val="24"/>
          <w:szCs w:val="20"/>
          <w:lang w:val="en-GB"/>
        </w:rPr>
        <w:t>systemic</w:t>
      </w:r>
      <w:r w:rsidRPr="00CA2C15">
        <w:rPr>
          <w:rFonts w:ascii="Calibri" w:eastAsia="Arial" w:hAnsi="Calibri" w:cs="Calibri"/>
          <w:color w:val="000000"/>
          <w:spacing w:val="-2"/>
          <w:sz w:val="24"/>
          <w:szCs w:val="24"/>
        </w:rPr>
        <w:t xml:space="preserve"> challenge to the legal aid ‘Exceptional Case Funding’ regime in the case of </w:t>
      </w:r>
      <w:r w:rsidRPr="00CA2C15">
        <w:rPr>
          <w:rFonts w:ascii="Calibri" w:eastAsia="Arial" w:hAnsi="Calibri" w:cs="Calibri"/>
          <w:i/>
          <w:iCs/>
          <w:color w:val="000000"/>
          <w:spacing w:val="-2"/>
          <w:sz w:val="24"/>
          <w:szCs w:val="24"/>
        </w:rPr>
        <w:t>Gudanaviciene &amp; Ors v Director of Legal Aid Casework &amp; Anor</w:t>
      </w:r>
      <w:r w:rsidRPr="00CA2C15">
        <w:rPr>
          <w:rFonts w:ascii="Calibri" w:eastAsia="Arial" w:hAnsi="Calibri" w:cs="Calibri"/>
          <w:color w:val="000000"/>
          <w:spacing w:val="-2"/>
          <w:sz w:val="24"/>
          <w:szCs w:val="24"/>
        </w:rPr>
        <w:t xml:space="preserve"> [2014]</w:t>
      </w:r>
      <w:r w:rsidR="009049AA" w:rsidRPr="00CA2C15">
        <w:rPr>
          <w:rFonts w:ascii="Calibri" w:eastAsia="Arial" w:hAnsi="Calibri" w:cs="Calibri"/>
          <w:color w:val="000000"/>
          <w:spacing w:val="-2"/>
          <w:sz w:val="24"/>
          <w:szCs w:val="24"/>
        </w:rPr>
        <w:t xml:space="preserve"> </w:t>
      </w:r>
      <w:r w:rsidRPr="00CA2C15">
        <w:rPr>
          <w:rFonts w:ascii="Calibri" w:eastAsia="Arial" w:hAnsi="Calibri" w:cs="Calibri"/>
          <w:color w:val="000000"/>
          <w:sz w:val="24"/>
          <w:szCs w:val="24"/>
        </w:rPr>
        <w:t xml:space="preserve">EWHC 1840 (Admin) (PLP were instructed to act for the Official Solicitor on behalf of the </w:t>
      </w:r>
      <w:r w:rsidR="00FC2BB6"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Following evidence filed by the </w:t>
      </w:r>
      <w:r w:rsidR="00FC2BB6"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the </w:t>
      </w:r>
      <w:r w:rsidR="00FC2BB6"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made a Part 18 request for further specific information. The </w:t>
      </w:r>
      <w:r w:rsidR="00FC2BB6"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 robustly resisted the request and relied on </w:t>
      </w:r>
      <w:r w:rsidRPr="00CA2C15">
        <w:rPr>
          <w:rFonts w:ascii="Calibri" w:eastAsia="Arial" w:hAnsi="Calibri" w:cs="Calibri"/>
          <w:i/>
          <w:iCs/>
          <w:color w:val="000000"/>
          <w:sz w:val="24"/>
          <w:szCs w:val="24"/>
        </w:rPr>
        <w:t>Bredenkamp</w:t>
      </w:r>
      <w:r w:rsidRPr="00CA2C15">
        <w:rPr>
          <w:rFonts w:ascii="Calibri" w:eastAsia="Arial" w:hAnsi="Calibri" w:cs="Calibri"/>
          <w:color w:val="000000"/>
          <w:sz w:val="24"/>
          <w:szCs w:val="24"/>
        </w:rPr>
        <w:t xml:space="preserve">. An application was made to the </w:t>
      </w:r>
      <w:r w:rsidR="00FC2BB6"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ourt, which ordered disclosure of the further information sought on the basis that it was relevant as it related to matters raised in the </w:t>
      </w:r>
      <w:r w:rsidR="00FC2BB6"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efendant’s evidence and was required to resolve the case justly and fairly.</w:t>
      </w:r>
    </w:p>
    <w:p w14:paraId="1A1BD483" w14:textId="01498B9F"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pacing w:val="-2"/>
          <w:sz w:val="24"/>
          <w:szCs w:val="24"/>
        </w:rPr>
      </w:pPr>
      <w:r w:rsidRPr="00CA2C15">
        <w:rPr>
          <w:rFonts w:ascii="Calibri" w:eastAsia="Arial" w:hAnsi="Calibri" w:cs="Calibri"/>
          <w:b/>
          <w:bCs/>
          <w:color w:val="000000"/>
          <w:spacing w:val="-2"/>
          <w:sz w:val="24"/>
          <w:szCs w:val="24"/>
          <w:u w:val="single"/>
        </w:rPr>
        <w:t>CASE</w:t>
      </w:r>
      <w:r w:rsidRPr="00CA2C15">
        <w:rPr>
          <w:rFonts w:ascii="Calibri" w:eastAsia="Arial" w:hAnsi="Calibri" w:cs="Calibri"/>
          <w:b/>
          <w:bCs/>
          <w:color w:val="000000"/>
          <w:sz w:val="24"/>
          <w:szCs w:val="24"/>
          <w:u w:val="single"/>
        </w:rPr>
        <w:t xml:space="preserve"> MANAGEMENT PROBLEMS</w:t>
      </w:r>
    </w:p>
    <w:p w14:paraId="7928BA16" w14:textId="798C9AED"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z w:val="24"/>
          <w:szCs w:val="24"/>
        </w:rPr>
        <w:t xml:space="preserve">In the event that directions are not or cannot be complied with, it may be necessary to make </w:t>
      </w:r>
      <w:r w:rsidR="00B663ED" w:rsidRPr="00CA2C15">
        <w:rPr>
          <w:rFonts w:ascii="Calibri" w:eastAsia="Arial" w:hAnsi="Calibri" w:cs="Calibri"/>
          <w:color w:val="000000"/>
          <w:spacing w:val="-2"/>
          <w:sz w:val="24"/>
          <w:szCs w:val="24"/>
        </w:rPr>
        <w:t xml:space="preserve">an </w:t>
      </w:r>
      <w:r w:rsidRPr="00CA2C15">
        <w:rPr>
          <w:rFonts w:ascii="Calibri" w:eastAsia="Arial" w:hAnsi="Calibri" w:cs="Calibri"/>
          <w:color w:val="000000"/>
          <w:spacing w:val="-1"/>
          <w:sz w:val="24"/>
          <w:szCs w:val="24"/>
        </w:rPr>
        <w:t xml:space="preserve">application for relief from sanction. In </w:t>
      </w:r>
      <w:r w:rsidRPr="00CA2C15">
        <w:rPr>
          <w:rFonts w:ascii="Calibri" w:eastAsia="Arial" w:hAnsi="Calibri" w:cs="Calibri"/>
          <w:i/>
          <w:iCs/>
          <w:color w:val="000000"/>
          <w:spacing w:val="-1"/>
          <w:sz w:val="24"/>
          <w:szCs w:val="24"/>
        </w:rPr>
        <w:t>Mitchell v. News Group Newspapers Ltd.</w:t>
      </w:r>
      <w:r w:rsidR="001C2229" w:rsidRPr="00CA2C15">
        <w:rPr>
          <w:rFonts w:ascii="Calibri" w:eastAsia="Arial" w:hAnsi="Calibri" w:cs="Calibri"/>
          <w:i/>
          <w:iCs/>
          <w:color w:val="000000"/>
          <w:spacing w:val="-1"/>
          <w:sz w:val="24"/>
          <w:szCs w:val="24"/>
        </w:rPr>
        <w:t xml:space="preserve"> </w:t>
      </w:r>
      <w:r w:rsidRPr="00CA2C15">
        <w:rPr>
          <w:rFonts w:ascii="Calibri" w:eastAsia="Arial" w:hAnsi="Calibri" w:cs="Calibri"/>
          <w:color w:val="000000"/>
          <w:spacing w:val="-1"/>
          <w:sz w:val="24"/>
          <w:szCs w:val="24"/>
        </w:rPr>
        <w:t xml:space="preserve">[2013] EWCA Civ 1537, the Court of Appeal gave tough </w:t>
      </w:r>
      <w:r w:rsidRPr="00CA2C15">
        <w:rPr>
          <w:rFonts w:ascii="Calibri" w:eastAsia="Times New Roman" w:hAnsi="Calibri" w:cs="Calibri"/>
          <w:sz w:val="24"/>
          <w:szCs w:val="20"/>
          <w:lang w:val="en-GB"/>
        </w:rPr>
        <w:t>guidance</w:t>
      </w:r>
      <w:r w:rsidRPr="00CA2C15">
        <w:rPr>
          <w:rFonts w:ascii="Calibri" w:eastAsia="Arial" w:hAnsi="Calibri" w:cs="Calibri"/>
          <w:color w:val="000000"/>
          <w:spacing w:val="-1"/>
          <w:sz w:val="24"/>
          <w:szCs w:val="24"/>
        </w:rPr>
        <w:t xml:space="preserve"> on the </w:t>
      </w:r>
      <w:r w:rsidR="0074785A" w:rsidRPr="00CA2C15">
        <w:rPr>
          <w:rFonts w:ascii="Calibri" w:eastAsia="Arial" w:hAnsi="Calibri" w:cs="Calibri"/>
          <w:color w:val="000000"/>
          <w:spacing w:val="-1"/>
          <w:sz w:val="24"/>
          <w:szCs w:val="24"/>
        </w:rPr>
        <w:t>c</w:t>
      </w:r>
      <w:r w:rsidRPr="00CA2C15">
        <w:rPr>
          <w:rFonts w:ascii="Calibri" w:eastAsia="Arial" w:hAnsi="Calibri" w:cs="Calibri"/>
          <w:color w:val="000000"/>
          <w:spacing w:val="-1"/>
          <w:sz w:val="24"/>
          <w:szCs w:val="24"/>
        </w:rPr>
        <w:t>ourt’s approach to granting relief from sanctions for breach of a court rule or order under the amended CPR 3.9 brought in by the Jackson reforms. The decision led to a flood of satellite litigation in which parties sought to take their opponents to task for procedural failings and, in many cases, harsh sanctions were imposed for relatively minor breaches.</w:t>
      </w:r>
    </w:p>
    <w:p w14:paraId="656944AB" w14:textId="77777777" w:rsidR="001C2229"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w:t>
      </w:r>
      <w:r w:rsidRPr="00CA2C15">
        <w:rPr>
          <w:rFonts w:ascii="Calibri" w:eastAsia="Arial" w:hAnsi="Calibri" w:cs="Calibri"/>
          <w:i/>
          <w:iCs/>
          <w:color w:val="000000"/>
          <w:sz w:val="24"/>
          <w:szCs w:val="24"/>
        </w:rPr>
        <w:t xml:space="preserve">Denton &amp; Ors v. TH White Ltd &amp; Ors </w:t>
      </w:r>
      <w:r w:rsidRPr="00CA2C15">
        <w:rPr>
          <w:rFonts w:ascii="Calibri" w:eastAsia="Arial" w:hAnsi="Calibri" w:cs="Calibri"/>
          <w:color w:val="000000"/>
          <w:sz w:val="24"/>
          <w:szCs w:val="24"/>
        </w:rPr>
        <w:t xml:space="preserve">[2014] EWCA Civ 906, the Court of Appeal </w:t>
      </w:r>
      <w:r w:rsidRPr="00CA2C15">
        <w:rPr>
          <w:rFonts w:ascii="Calibri" w:eastAsia="Times New Roman" w:hAnsi="Calibri" w:cs="Calibri"/>
          <w:sz w:val="24"/>
          <w:szCs w:val="20"/>
          <w:lang w:val="en-GB"/>
        </w:rPr>
        <w:t>held</w:t>
      </w:r>
      <w:r w:rsidRPr="00CA2C15">
        <w:rPr>
          <w:rFonts w:ascii="Calibri" w:eastAsia="Arial" w:hAnsi="Calibri" w:cs="Calibri"/>
          <w:color w:val="000000"/>
          <w:sz w:val="24"/>
          <w:szCs w:val="24"/>
        </w:rPr>
        <w:t xml:space="preserve"> it would be useful for courts, in determining relief applications, to apply a ‘three-stage’ test, namely:</w:t>
      </w:r>
    </w:p>
    <w:p w14:paraId="03F54D47" w14:textId="77777777" w:rsidR="00AD62F6" w:rsidRPr="00CA2C15" w:rsidRDefault="00B935ED" w:rsidP="004916C0">
      <w:pPr>
        <w:numPr>
          <w:ilvl w:val="0"/>
          <w:numId w:val="21"/>
        </w:numPr>
        <w:tabs>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Identify</w:t>
      </w:r>
      <w:r w:rsidRPr="00CA2C15">
        <w:rPr>
          <w:rFonts w:ascii="Calibri" w:eastAsia="Arial" w:hAnsi="Calibri" w:cs="Calibri"/>
          <w:color w:val="000000"/>
          <w:sz w:val="24"/>
          <w:szCs w:val="24"/>
        </w:rPr>
        <w:t xml:space="preserve"> and assess the seriousness and significance of the ‘failure to comply with any rule, practice direction or court order’ which engages rule 3.9(1):</w:t>
      </w:r>
    </w:p>
    <w:p w14:paraId="32D1D5E2" w14:textId="77777777" w:rsidR="00AD62F6" w:rsidRPr="00CA2C15" w:rsidRDefault="00B935ED" w:rsidP="004916C0">
      <w:pPr>
        <w:numPr>
          <w:ilvl w:val="2"/>
          <w:numId w:val="21"/>
        </w:numPr>
        <w:tabs>
          <w:tab w:val="num" w:pos="1447"/>
        </w:tabs>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This is instead of the ‘triviality’ criteria introduced by Mitchell.</w:t>
      </w:r>
    </w:p>
    <w:p w14:paraId="0285C578" w14:textId="77777777" w:rsidR="00AD62F6" w:rsidRPr="00CA2C15" w:rsidRDefault="00B935ED" w:rsidP="004916C0">
      <w:pPr>
        <w:numPr>
          <w:ilvl w:val="2"/>
          <w:numId w:val="21"/>
        </w:numPr>
        <w:tabs>
          <w:tab w:val="num" w:pos="1447"/>
        </w:tabs>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considering this factor the court could look at whether the breach imperils future hearing dates or otherwise disrupts the </w:t>
      </w:r>
      <w:r w:rsidRPr="00CA2C15">
        <w:rPr>
          <w:rFonts w:ascii="Calibri" w:eastAsia="Times New Roman" w:hAnsi="Calibri" w:cs="Calibri"/>
          <w:sz w:val="24"/>
          <w:szCs w:val="20"/>
          <w:lang w:val="en-GB"/>
        </w:rPr>
        <w:t>conduct</w:t>
      </w:r>
      <w:r w:rsidRPr="00CA2C15">
        <w:rPr>
          <w:rFonts w:ascii="Calibri" w:eastAsia="Arial" w:hAnsi="Calibri" w:cs="Calibri"/>
          <w:color w:val="000000"/>
          <w:sz w:val="24"/>
          <w:szCs w:val="24"/>
        </w:rPr>
        <w:t xml:space="preserve"> of litigation. Note: the disruption factor is not to be considered by reference to the instant proceedings alone but by reference to litigation generally.</w:t>
      </w:r>
    </w:p>
    <w:p w14:paraId="2664D276" w14:textId="6BCBBFB0" w:rsidR="00B935ED" w:rsidRPr="00CA2C15" w:rsidRDefault="00B935ED" w:rsidP="004916C0">
      <w:pPr>
        <w:numPr>
          <w:ilvl w:val="2"/>
          <w:numId w:val="21"/>
        </w:numPr>
        <w:tabs>
          <w:tab w:val="num" w:pos="1447"/>
        </w:tabs>
        <w:spacing w:after="240" w:line="360" w:lineRule="auto"/>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If the breach is determined to be neither serious nor significant, relief is likely to be granted and the court is unlikely to need to </w:t>
      </w:r>
      <w:r w:rsidRPr="00CA2C15">
        <w:rPr>
          <w:rFonts w:ascii="Calibri" w:eastAsia="Times New Roman" w:hAnsi="Calibri" w:cs="Calibri"/>
          <w:sz w:val="24"/>
          <w:szCs w:val="20"/>
          <w:lang w:val="en-GB"/>
        </w:rPr>
        <w:t>spend</w:t>
      </w:r>
      <w:r w:rsidRPr="00CA2C15">
        <w:rPr>
          <w:rFonts w:ascii="Calibri" w:eastAsia="Arial" w:hAnsi="Calibri" w:cs="Calibri"/>
          <w:color w:val="000000"/>
          <w:sz w:val="24"/>
          <w:szCs w:val="24"/>
        </w:rPr>
        <w:t xml:space="preserve"> much time on the second and third stages. However, if the breach is determined to be serious or significant then the second and third tests below ‘assume greater importance’ [para. 28].</w:t>
      </w:r>
    </w:p>
    <w:p w14:paraId="04EABE7B" w14:textId="289F496F" w:rsidR="00B935ED" w:rsidRPr="00CA2C15" w:rsidRDefault="00B935ED" w:rsidP="004916C0">
      <w:pPr>
        <w:numPr>
          <w:ilvl w:val="0"/>
          <w:numId w:val="21"/>
        </w:numPr>
        <w:tabs>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Consider why the failure or default occurred (and, by implication, whether these are ‘good’ or ‘bad’ reasons)</w:t>
      </w:r>
    </w:p>
    <w:p w14:paraId="3C9A1E58" w14:textId="6434F465" w:rsidR="00B935ED" w:rsidRPr="00CA2C15" w:rsidRDefault="00B935ED" w:rsidP="004916C0">
      <w:pPr>
        <w:numPr>
          <w:ilvl w:val="2"/>
          <w:numId w:val="21"/>
        </w:numPr>
        <w:tabs>
          <w:tab w:val="num" w:pos="1447"/>
        </w:tabs>
        <w:spacing w:after="240" w:line="360" w:lineRule="auto"/>
        <w:jc w:val="both"/>
        <w:rPr>
          <w:rFonts w:ascii="Calibri" w:eastAsia="Arial" w:hAnsi="Calibri" w:cs="Calibri"/>
          <w:color w:val="000000"/>
          <w:sz w:val="24"/>
          <w:szCs w:val="24"/>
        </w:rPr>
      </w:pPr>
      <w:r w:rsidRPr="00CA2C15">
        <w:rPr>
          <w:rFonts w:ascii="Calibri" w:eastAsia="Arial" w:hAnsi="Calibri" w:cs="Calibri"/>
          <w:b/>
          <w:color w:val="000000"/>
          <w:sz w:val="24"/>
          <w:szCs w:val="24"/>
        </w:rPr>
        <w:t>Note</w:t>
      </w:r>
      <w:r w:rsidRPr="00CA2C15">
        <w:rPr>
          <w:rFonts w:ascii="Calibri" w:eastAsia="Arial" w:hAnsi="Calibri" w:cs="Calibri"/>
          <w:color w:val="000000"/>
          <w:sz w:val="24"/>
          <w:szCs w:val="24"/>
        </w:rPr>
        <w:t xml:space="preserve">: the Court of Appeal was keen to stress the examples given in para. 41 of </w:t>
      </w:r>
      <w:r w:rsidRPr="00CA2C15">
        <w:rPr>
          <w:rFonts w:ascii="Calibri" w:eastAsia="Arial" w:hAnsi="Calibri" w:cs="Calibri"/>
          <w:i/>
          <w:iCs/>
          <w:color w:val="000000"/>
          <w:sz w:val="24"/>
          <w:szCs w:val="24"/>
        </w:rPr>
        <w:t>Mitchell</w:t>
      </w:r>
      <w:r w:rsidRPr="00CA2C15">
        <w:rPr>
          <w:rFonts w:ascii="Calibri" w:eastAsia="Arial" w:hAnsi="Calibri" w:cs="Calibri"/>
          <w:color w:val="000000"/>
          <w:sz w:val="24"/>
          <w:szCs w:val="24"/>
        </w:rPr>
        <w:t xml:space="preserve"> were no more than examples.</w:t>
      </w:r>
    </w:p>
    <w:p w14:paraId="61CC4C5F" w14:textId="77777777" w:rsidR="00AD62F6" w:rsidRPr="00CA2C15" w:rsidRDefault="00B935ED" w:rsidP="004916C0">
      <w:pPr>
        <w:numPr>
          <w:ilvl w:val="0"/>
          <w:numId w:val="21"/>
        </w:numPr>
        <w:tabs>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Times New Roman" w:hAnsi="Calibri" w:cs="Calibri"/>
          <w:sz w:val="24"/>
          <w:szCs w:val="20"/>
          <w:lang w:val="en-GB"/>
        </w:rPr>
        <w:t>Evaluate</w:t>
      </w:r>
      <w:r w:rsidRPr="00CA2C15">
        <w:rPr>
          <w:rFonts w:ascii="Calibri" w:eastAsia="Arial" w:hAnsi="Calibri" w:cs="Calibri"/>
          <w:color w:val="000000"/>
          <w:sz w:val="24"/>
          <w:szCs w:val="24"/>
        </w:rPr>
        <w:t xml:space="preserve"> all the circumstances of the case, so as to enable it to deal justly with the application including CPR 3.9(1)(a) and (b)</w:t>
      </w:r>
      <w:r w:rsidR="001C2229" w:rsidRPr="00CA2C15">
        <w:rPr>
          <w:rFonts w:ascii="Calibri" w:eastAsia="Arial" w:hAnsi="Calibri" w:cs="Calibri"/>
          <w:color w:val="000000"/>
          <w:sz w:val="24"/>
          <w:szCs w:val="24"/>
        </w:rPr>
        <w:t>.</w:t>
      </w:r>
    </w:p>
    <w:p w14:paraId="10132A64" w14:textId="2E572FAA" w:rsidR="00B935ED" w:rsidRPr="00CA2C15" w:rsidRDefault="00B935ED" w:rsidP="00AD62F6">
      <w:pPr>
        <w:spacing w:after="240" w:line="360" w:lineRule="auto"/>
        <w:ind w:left="1447"/>
        <w:jc w:val="both"/>
        <w:rPr>
          <w:rFonts w:ascii="Calibri" w:eastAsia="Arial" w:hAnsi="Calibri" w:cs="Calibri"/>
          <w:color w:val="000000"/>
          <w:sz w:val="24"/>
          <w:szCs w:val="24"/>
        </w:rPr>
      </w:pPr>
      <w:r w:rsidRPr="00CA2C15">
        <w:rPr>
          <w:rFonts w:ascii="Calibri" w:eastAsia="Arial" w:hAnsi="Calibri" w:cs="Calibri"/>
          <w:color w:val="000000"/>
          <w:spacing w:val="-2"/>
          <w:sz w:val="24"/>
          <w:szCs w:val="24"/>
        </w:rPr>
        <w:t>Issues that could be taken into account at this third stage could include the promptness of the application; other past or current breaches; etc [para. 36].</w:t>
      </w:r>
    </w:p>
    <w:p w14:paraId="316C7CC0" w14:textId="1692E42F" w:rsidR="00E36EC3" w:rsidRPr="00CA2C15" w:rsidRDefault="00B935ED" w:rsidP="00E36EC3">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There appears to be some difference of opinion between the Lord Justices as to the weight to be given to factors (1) and (2) – should those factors be given particular weight (majority view) or are they simply factors to be taken into </w:t>
      </w:r>
      <w:r w:rsidRPr="00CA2C15">
        <w:rPr>
          <w:rFonts w:ascii="Calibri" w:eastAsia="Times New Roman" w:hAnsi="Calibri" w:cs="Calibri"/>
          <w:sz w:val="24"/>
          <w:szCs w:val="20"/>
          <w:lang w:val="en-GB"/>
        </w:rPr>
        <w:t>account</w:t>
      </w:r>
      <w:r w:rsidRPr="00CA2C15">
        <w:rPr>
          <w:rFonts w:ascii="Calibri" w:eastAsia="Arial" w:hAnsi="Calibri" w:cs="Calibri"/>
          <w:color w:val="000000"/>
          <w:sz w:val="24"/>
          <w:szCs w:val="24"/>
        </w:rPr>
        <w:t xml:space="preserve"> every time as part of ‘all the circumstances of the case’? Ultimately what rule 3.9 requires is that the court should “deal justly with the application”’ (Jackson LJ’s view at para 85).</w:t>
      </w:r>
    </w:p>
    <w:p w14:paraId="2DAF2193" w14:textId="6B4CEA38" w:rsidR="00B935ED" w:rsidRPr="00CA2C15" w:rsidRDefault="00B935ED" w:rsidP="00AD62F6">
      <w:pPr>
        <w:spacing w:after="240" w:line="360" w:lineRule="auto"/>
        <w:ind w:firstLine="720"/>
        <w:textAlignment w:val="baseline"/>
        <w:rPr>
          <w:rFonts w:ascii="Calibri" w:eastAsia="Arial" w:hAnsi="Calibri" w:cs="Calibri"/>
          <w:b/>
          <w:color w:val="000000"/>
          <w:spacing w:val="-1"/>
          <w:sz w:val="24"/>
          <w:szCs w:val="24"/>
          <w:u w:val="single"/>
        </w:rPr>
      </w:pPr>
      <w:r w:rsidRPr="00CA2C15">
        <w:rPr>
          <w:rFonts w:ascii="Calibri" w:eastAsia="Arial" w:hAnsi="Calibri" w:cs="Calibri"/>
          <w:b/>
          <w:color w:val="000000"/>
          <w:spacing w:val="-1"/>
          <w:sz w:val="24"/>
          <w:szCs w:val="24"/>
          <w:u w:val="single"/>
        </w:rPr>
        <w:t xml:space="preserve">SETTLEMENT AND </w:t>
      </w:r>
      <w:r w:rsidRPr="00CA2C15">
        <w:rPr>
          <w:rFonts w:ascii="Calibri" w:eastAsia="Arial" w:hAnsi="Calibri" w:cs="Calibri"/>
          <w:b/>
          <w:color w:val="000000"/>
          <w:spacing w:val="-2"/>
          <w:sz w:val="24"/>
          <w:szCs w:val="24"/>
          <w:u w:val="single"/>
        </w:rPr>
        <w:t>DISCONTINUANCE</w:t>
      </w:r>
    </w:p>
    <w:p w14:paraId="32A7D600" w14:textId="303935A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Settlement is being considered in more detail in a separate session. However, </w:t>
      </w:r>
      <w:r w:rsidRPr="00CA2C15">
        <w:rPr>
          <w:rFonts w:ascii="Calibri" w:eastAsia="Times New Roman" w:hAnsi="Calibri" w:cs="Calibri"/>
          <w:sz w:val="24"/>
          <w:szCs w:val="20"/>
          <w:lang w:val="en-GB"/>
        </w:rPr>
        <w:t>some</w:t>
      </w:r>
      <w:r w:rsidRPr="00CA2C15">
        <w:rPr>
          <w:rFonts w:ascii="Calibri" w:eastAsia="Arial" w:hAnsi="Calibri" w:cs="Calibri"/>
          <w:color w:val="000000"/>
          <w:sz w:val="24"/>
          <w:szCs w:val="24"/>
        </w:rPr>
        <w:t xml:space="preserve"> of the brief key aspects are summarised here.</w:t>
      </w:r>
    </w:p>
    <w:p w14:paraId="3EE68815" w14:textId="77777777" w:rsidR="00E07786"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Parties are encouraged to use Alternative Dispute Resolution (‘ADR’) – </w:t>
      </w:r>
      <w:r w:rsidRPr="00CA2C15">
        <w:rPr>
          <w:rFonts w:ascii="Calibri" w:eastAsia="Arial" w:hAnsi="Calibri" w:cs="Calibri"/>
          <w:i/>
          <w:iCs/>
          <w:color w:val="000000"/>
          <w:sz w:val="24"/>
          <w:szCs w:val="24"/>
        </w:rPr>
        <w:t xml:space="preserve">R (Cowl) v. Plymouth </w:t>
      </w:r>
      <w:r w:rsidR="00EA1737" w:rsidRPr="00CA2C15">
        <w:rPr>
          <w:rFonts w:ascii="Calibri" w:eastAsia="Arial" w:hAnsi="Calibri" w:cs="Calibri"/>
          <w:i/>
          <w:iCs/>
          <w:color w:val="000000"/>
          <w:sz w:val="24"/>
          <w:szCs w:val="24"/>
        </w:rPr>
        <w:t>City Council</w:t>
      </w:r>
      <w:r w:rsidRPr="00CA2C15">
        <w:rPr>
          <w:rFonts w:ascii="Calibri" w:eastAsia="Arial" w:hAnsi="Calibri" w:cs="Calibri"/>
          <w:i/>
          <w:iCs/>
          <w:color w:val="000000"/>
          <w:sz w:val="24"/>
          <w:szCs w:val="24"/>
        </w:rPr>
        <w:t xml:space="preserve"> (Practice Note)</w:t>
      </w:r>
      <w:r w:rsidRPr="00CA2C15">
        <w:rPr>
          <w:rFonts w:ascii="Calibri" w:eastAsia="Arial" w:hAnsi="Calibri" w:cs="Calibri"/>
          <w:color w:val="000000"/>
          <w:sz w:val="24"/>
          <w:szCs w:val="24"/>
        </w:rPr>
        <w:t xml:space="preserve"> [2001] EWCA Civ 1935; see also </w:t>
      </w:r>
      <w:r w:rsidRPr="00CA2C15">
        <w:rPr>
          <w:rFonts w:ascii="Calibri" w:eastAsia="Times New Roman" w:hAnsi="Calibri" w:cs="Calibri"/>
          <w:sz w:val="24"/>
          <w:szCs w:val="20"/>
          <w:lang w:val="en-GB"/>
        </w:rPr>
        <w:t>Practice</w:t>
      </w:r>
      <w:r w:rsidRPr="00CA2C15">
        <w:rPr>
          <w:rFonts w:ascii="Calibri" w:eastAsia="Arial" w:hAnsi="Calibri" w:cs="Calibri"/>
          <w:color w:val="000000"/>
          <w:sz w:val="24"/>
          <w:szCs w:val="24"/>
        </w:rPr>
        <w:t xml:space="preserve"> Statement 1st February 2002. See Varda Bondy’s September 2005 paper Mediation and Judicial Review: Mind the Research Gap for a more </w:t>
      </w:r>
      <w:r w:rsidR="00EA1737" w:rsidRPr="00CA2C15">
        <w:rPr>
          <w:rFonts w:ascii="Calibri" w:eastAsia="Arial" w:hAnsi="Calibri" w:cs="Calibri"/>
          <w:color w:val="000000"/>
          <w:sz w:val="24"/>
          <w:szCs w:val="24"/>
        </w:rPr>
        <w:t>skeptical</w:t>
      </w:r>
      <w:r w:rsidRPr="00CA2C15">
        <w:rPr>
          <w:rFonts w:ascii="Calibri" w:eastAsia="Arial" w:hAnsi="Calibri" w:cs="Calibri"/>
          <w:color w:val="000000"/>
          <w:sz w:val="24"/>
          <w:szCs w:val="24"/>
        </w:rPr>
        <w:t xml:space="preserve"> approach.</w:t>
      </w:r>
    </w:p>
    <w:p w14:paraId="63720698" w14:textId="75614544"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pacing w:val="-1"/>
          <w:sz w:val="24"/>
          <w:szCs w:val="24"/>
        </w:rPr>
        <w:t xml:space="preserve">If </w:t>
      </w:r>
      <w:r w:rsidRPr="00CA2C15">
        <w:rPr>
          <w:rFonts w:ascii="Calibri" w:eastAsia="Arial" w:hAnsi="Calibri" w:cs="Calibri"/>
          <w:color w:val="000000"/>
          <w:sz w:val="24"/>
          <w:szCs w:val="24"/>
        </w:rPr>
        <w:t>the</w:t>
      </w:r>
      <w:r w:rsidRPr="00CA2C15">
        <w:rPr>
          <w:rFonts w:ascii="Calibri" w:eastAsia="Arial" w:hAnsi="Calibri" w:cs="Calibri"/>
          <w:color w:val="000000"/>
          <w:spacing w:val="-1"/>
          <w:sz w:val="24"/>
          <w:szCs w:val="24"/>
        </w:rPr>
        <w:t xml:space="preserve"> parties do settle then they must inform the court promptly so as to avoid the Court wasting time reading and preparing the case – </w:t>
      </w:r>
      <w:r w:rsidRPr="00CA2C15">
        <w:rPr>
          <w:rFonts w:ascii="Calibri" w:eastAsia="Arial" w:hAnsi="Calibri" w:cs="Calibri"/>
          <w:i/>
          <w:iCs/>
          <w:color w:val="000000"/>
          <w:spacing w:val="-1"/>
          <w:sz w:val="24"/>
          <w:szCs w:val="24"/>
        </w:rPr>
        <w:t>R (Craddock) v. PCA</w:t>
      </w:r>
      <w:r w:rsidRPr="00CA2C15">
        <w:rPr>
          <w:rFonts w:ascii="Calibri" w:eastAsia="Arial" w:hAnsi="Calibri" w:cs="Calibri"/>
          <w:color w:val="000000"/>
          <w:spacing w:val="-1"/>
          <w:sz w:val="24"/>
          <w:szCs w:val="24"/>
        </w:rPr>
        <w:t xml:space="preserve"> [</w:t>
      </w:r>
      <w:r w:rsidRPr="00CA2C15">
        <w:rPr>
          <w:rFonts w:ascii="Calibri" w:eastAsia="Arial" w:hAnsi="Calibri" w:cs="Calibri"/>
          <w:color w:val="000000"/>
          <w:sz w:val="24"/>
          <w:szCs w:val="24"/>
        </w:rPr>
        <w:t>2005</w:t>
      </w:r>
      <w:r w:rsidRPr="00CA2C15">
        <w:rPr>
          <w:rFonts w:ascii="Calibri" w:eastAsia="Arial" w:hAnsi="Calibri" w:cs="Calibri"/>
          <w:color w:val="000000"/>
          <w:spacing w:val="-1"/>
          <w:sz w:val="24"/>
          <w:szCs w:val="24"/>
        </w:rPr>
        <w:t xml:space="preserve">] EWHC 95 Admin. Failure to do so may result in a wasted costs order - </w:t>
      </w:r>
      <w:r w:rsidRPr="00CA2C15">
        <w:rPr>
          <w:rFonts w:ascii="Calibri" w:eastAsia="Arial" w:hAnsi="Calibri" w:cs="Calibri"/>
          <w:i/>
          <w:iCs/>
          <w:color w:val="000000"/>
          <w:spacing w:val="-1"/>
          <w:sz w:val="24"/>
          <w:szCs w:val="24"/>
        </w:rPr>
        <w:t>R (</w:t>
      </w:r>
      <w:r w:rsidRPr="00CA2C15">
        <w:rPr>
          <w:rFonts w:ascii="Calibri" w:eastAsia="Times New Roman" w:hAnsi="Calibri" w:cs="Calibri"/>
          <w:sz w:val="24"/>
          <w:szCs w:val="20"/>
          <w:lang w:val="en-GB"/>
        </w:rPr>
        <w:t>Gassama</w:t>
      </w:r>
      <w:r w:rsidRPr="00CA2C15">
        <w:rPr>
          <w:rFonts w:ascii="Calibri" w:eastAsia="Arial" w:hAnsi="Calibri" w:cs="Calibri"/>
          <w:i/>
          <w:iCs/>
          <w:color w:val="000000"/>
          <w:spacing w:val="-1"/>
          <w:sz w:val="24"/>
          <w:szCs w:val="24"/>
        </w:rPr>
        <w:t>) v. SSHD</w:t>
      </w:r>
      <w:r w:rsidRPr="00CA2C15">
        <w:rPr>
          <w:rFonts w:ascii="Calibri" w:eastAsia="Arial" w:hAnsi="Calibri" w:cs="Calibri"/>
          <w:color w:val="000000"/>
          <w:spacing w:val="-1"/>
          <w:sz w:val="24"/>
          <w:szCs w:val="24"/>
        </w:rPr>
        <w:t xml:space="preserve"> [2012] EWHC 3049 (Admin); </w:t>
      </w:r>
      <w:r w:rsidRPr="00CA2C15">
        <w:rPr>
          <w:rFonts w:ascii="Calibri" w:eastAsia="Arial" w:hAnsi="Calibri" w:cs="Calibri"/>
          <w:i/>
          <w:iCs/>
          <w:color w:val="000000"/>
          <w:spacing w:val="-1"/>
          <w:sz w:val="24"/>
          <w:szCs w:val="24"/>
        </w:rPr>
        <w:t>R (Grimshaw) v</w:t>
      </w:r>
      <w:r w:rsidR="00EA1737" w:rsidRPr="00CA2C15">
        <w:rPr>
          <w:rFonts w:ascii="Calibri" w:eastAsia="Arial" w:hAnsi="Calibri" w:cs="Calibri"/>
          <w:i/>
          <w:iCs/>
          <w:color w:val="000000"/>
          <w:spacing w:val="-1"/>
          <w:sz w:val="24"/>
          <w:szCs w:val="24"/>
        </w:rPr>
        <w:t xml:space="preserve"> </w:t>
      </w:r>
      <w:r w:rsidRPr="00CA2C15">
        <w:rPr>
          <w:rFonts w:ascii="Calibri" w:eastAsia="Arial" w:hAnsi="Calibri" w:cs="Calibri"/>
          <w:i/>
          <w:iCs/>
          <w:color w:val="000000"/>
          <w:sz w:val="24"/>
          <w:szCs w:val="24"/>
        </w:rPr>
        <w:t>LBC Southwark</w:t>
      </w:r>
      <w:r w:rsidRPr="00CA2C15">
        <w:rPr>
          <w:rFonts w:ascii="Calibri" w:eastAsia="Arial" w:hAnsi="Calibri" w:cs="Calibri"/>
          <w:color w:val="000000"/>
          <w:sz w:val="24"/>
          <w:szCs w:val="24"/>
        </w:rPr>
        <w:t xml:space="preserve">, unreported, 17 Jul 2013, Leggatt J. (Wasted costs orders are also being considered </w:t>
      </w:r>
      <w:r w:rsidR="007078C7" w:rsidRPr="00CA2C15">
        <w:rPr>
          <w:rFonts w:ascii="Calibri" w:eastAsia="Arial" w:hAnsi="Calibri" w:cs="Calibri"/>
          <w:color w:val="000000"/>
          <w:sz w:val="24"/>
          <w:szCs w:val="24"/>
        </w:rPr>
        <w:t>in session 6</w:t>
      </w:r>
      <w:r w:rsidRPr="00CA2C15">
        <w:rPr>
          <w:rFonts w:ascii="Calibri" w:eastAsia="Arial" w:hAnsi="Calibri" w:cs="Calibri"/>
          <w:color w:val="000000"/>
          <w:sz w:val="24"/>
          <w:szCs w:val="24"/>
        </w:rPr>
        <w:t>.)</w:t>
      </w:r>
    </w:p>
    <w:p w14:paraId="2873E696" w14:textId="222070E8"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CPR PD 54A para. </w:t>
      </w:r>
      <w:r w:rsidR="0027186F" w:rsidRPr="00CA2C15">
        <w:rPr>
          <w:rFonts w:ascii="Calibri" w:eastAsia="Arial" w:hAnsi="Calibri" w:cs="Calibri"/>
          <w:color w:val="000000"/>
          <w:sz w:val="24"/>
          <w:szCs w:val="24"/>
        </w:rPr>
        <w:t>17</w:t>
      </w:r>
      <w:r w:rsidRPr="00CA2C15">
        <w:rPr>
          <w:rFonts w:ascii="Calibri" w:eastAsia="Arial" w:hAnsi="Calibri" w:cs="Calibri"/>
          <w:color w:val="000000"/>
          <w:sz w:val="24"/>
          <w:szCs w:val="24"/>
        </w:rPr>
        <w:t xml:space="preserve"> appears to require the consent of the court for all settlements requiring a court order except those that relate to costs only. The intention </w:t>
      </w:r>
      <w:r w:rsidRPr="00CA2C15">
        <w:rPr>
          <w:rFonts w:ascii="Calibri" w:eastAsia="Times New Roman" w:hAnsi="Calibri" w:cs="Calibri"/>
          <w:sz w:val="24"/>
          <w:szCs w:val="20"/>
          <w:lang w:val="en-GB"/>
        </w:rPr>
        <w:t>behind</w:t>
      </w:r>
      <w:r w:rsidRPr="00CA2C15">
        <w:rPr>
          <w:rFonts w:ascii="Calibri" w:eastAsia="Arial" w:hAnsi="Calibri" w:cs="Calibri"/>
          <w:color w:val="000000"/>
          <w:sz w:val="24"/>
          <w:szCs w:val="24"/>
        </w:rPr>
        <w:t xml:space="preserve"> this is to ensure that where the agreement involves the doing of a judicial act (for example a quashing or mandatory order) the court should be satisfied that it has power to make the order concerned. Many agreements do not involve this type of act on the part of the court, for example where the parties simply agree that the </w:t>
      </w:r>
      <w:r w:rsidR="006D27D0" w:rsidRPr="00CA2C15">
        <w:rPr>
          <w:rFonts w:ascii="Calibri" w:eastAsia="Arial" w:hAnsi="Calibri" w:cs="Calibri"/>
          <w:color w:val="000000"/>
          <w:sz w:val="24"/>
          <w:szCs w:val="24"/>
        </w:rPr>
        <w:t>d</w:t>
      </w:r>
      <w:r w:rsidRPr="00CA2C15">
        <w:rPr>
          <w:rFonts w:ascii="Calibri" w:eastAsia="Arial" w:hAnsi="Calibri" w:cs="Calibri"/>
          <w:color w:val="000000"/>
          <w:sz w:val="24"/>
          <w:szCs w:val="24"/>
        </w:rPr>
        <w:t>efendant should take a fresh decision.</w:t>
      </w:r>
    </w:p>
    <w:p w14:paraId="0161DB84" w14:textId="6247B39B"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It often </w:t>
      </w:r>
      <w:r w:rsidRPr="00CA2C15">
        <w:rPr>
          <w:rFonts w:ascii="Calibri" w:eastAsia="Times New Roman" w:hAnsi="Calibri" w:cs="Calibri"/>
          <w:sz w:val="24"/>
          <w:szCs w:val="20"/>
          <w:lang w:val="en-GB"/>
        </w:rPr>
        <w:t>happens</w:t>
      </w:r>
      <w:r w:rsidRPr="00CA2C15">
        <w:rPr>
          <w:rFonts w:ascii="Calibri" w:eastAsia="Arial" w:hAnsi="Calibri" w:cs="Calibri"/>
          <w:color w:val="000000"/>
          <w:sz w:val="24"/>
          <w:szCs w:val="24"/>
        </w:rPr>
        <w:t xml:space="preserve"> that the parties agree all issues with the exception of costs. The court’s approach in relation to costs in such circumstances will be addressed </w:t>
      </w:r>
      <w:r w:rsidR="006339ED" w:rsidRPr="00CA2C15">
        <w:rPr>
          <w:rFonts w:ascii="Calibri" w:eastAsia="Arial" w:hAnsi="Calibri" w:cs="Calibri"/>
          <w:color w:val="000000"/>
          <w:sz w:val="24"/>
          <w:szCs w:val="24"/>
        </w:rPr>
        <w:t>in session 6</w:t>
      </w:r>
      <w:r w:rsidRPr="00CA2C15">
        <w:rPr>
          <w:rFonts w:ascii="Calibri" w:eastAsia="Arial" w:hAnsi="Calibri" w:cs="Calibri"/>
          <w:color w:val="000000"/>
          <w:sz w:val="24"/>
          <w:szCs w:val="24"/>
        </w:rPr>
        <w:t>.</w:t>
      </w:r>
    </w:p>
    <w:p w14:paraId="42BAD32C" w14:textId="2565CA2E" w:rsidR="00E36EC3" w:rsidRPr="00CA2C15" w:rsidRDefault="00B935ED" w:rsidP="006525A9">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 </w:t>
      </w:r>
      <w:r w:rsidR="006D27D0"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may discontinue their claim at any time by notice under CPR Part 38 (subject to the restrictions in that rule which include 38.2(2) – permission is required if the court has granted an interim injunction or a party has given an </w:t>
      </w:r>
      <w:r w:rsidRPr="00CA2C15">
        <w:rPr>
          <w:rFonts w:ascii="Calibri" w:eastAsia="Times New Roman" w:hAnsi="Calibri" w:cs="Calibri"/>
          <w:sz w:val="24"/>
          <w:szCs w:val="20"/>
          <w:lang w:val="en-GB"/>
        </w:rPr>
        <w:t>undertaking</w:t>
      </w:r>
      <w:r w:rsidRPr="00CA2C15">
        <w:rPr>
          <w:rFonts w:ascii="Calibri" w:eastAsia="Arial" w:hAnsi="Calibri" w:cs="Calibri"/>
          <w:color w:val="000000"/>
          <w:sz w:val="24"/>
          <w:szCs w:val="24"/>
        </w:rPr>
        <w:t xml:space="preserve"> to the court). If they do so, they must pay the </w:t>
      </w:r>
      <w:r w:rsidR="006B60EC" w:rsidRPr="00CA2C15">
        <w:rPr>
          <w:rFonts w:ascii="Calibri" w:eastAsia="Arial" w:hAnsi="Calibri" w:cs="Calibri"/>
          <w:color w:val="000000"/>
          <w:sz w:val="24"/>
          <w:szCs w:val="24"/>
        </w:rPr>
        <w:t>d</w:t>
      </w:r>
      <w:r w:rsidRPr="00CA2C15">
        <w:rPr>
          <w:rFonts w:ascii="Calibri" w:eastAsia="Arial" w:hAnsi="Calibri" w:cs="Calibri"/>
          <w:color w:val="000000"/>
          <w:sz w:val="24"/>
          <w:szCs w:val="24"/>
        </w:rPr>
        <w:t xml:space="preserve">efendant’s costs unless the </w:t>
      </w:r>
      <w:r w:rsidR="006B60EC"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 orders otherwise.</w:t>
      </w:r>
    </w:p>
    <w:p w14:paraId="13F0093A" w14:textId="71541BC9" w:rsidR="00EA1737" w:rsidRPr="00CA2C15" w:rsidRDefault="00B935ED" w:rsidP="00AD62F6">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pacing w:val="-2"/>
          <w:sz w:val="24"/>
          <w:szCs w:val="24"/>
          <w:u w:val="single"/>
        </w:rPr>
        <w:t>PREPARATION</w:t>
      </w:r>
      <w:r w:rsidRPr="00CA2C15">
        <w:rPr>
          <w:rFonts w:ascii="Calibri" w:eastAsia="Arial" w:hAnsi="Calibri" w:cs="Calibri"/>
          <w:b/>
          <w:color w:val="000000"/>
          <w:sz w:val="24"/>
          <w:szCs w:val="24"/>
          <w:u w:val="single"/>
        </w:rPr>
        <w:t xml:space="preserve"> FOR THE HEARING </w:t>
      </w:r>
    </w:p>
    <w:p w14:paraId="032B5E91" w14:textId="4BBC5AB1" w:rsidR="00B935ED" w:rsidRPr="00CA2C15" w:rsidRDefault="00B935ED" w:rsidP="00AD62F6">
      <w:pPr>
        <w:spacing w:after="240" w:line="360" w:lineRule="auto"/>
        <w:ind w:firstLine="720"/>
        <w:textAlignment w:val="baseline"/>
        <w:rPr>
          <w:rFonts w:ascii="Calibri" w:eastAsia="Arial" w:hAnsi="Calibri" w:cs="Calibri"/>
          <w:b/>
          <w:color w:val="000000"/>
          <w:sz w:val="24"/>
          <w:szCs w:val="24"/>
          <w:u w:val="single"/>
        </w:rPr>
      </w:pPr>
      <w:r w:rsidRPr="00CA2C15">
        <w:rPr>
          <w:rFonts w:ascii="Calibri" w:eastAsia="Arial" w:hAnsi="Calibri" w:cs="Calibri"/>
          <w:b/>
          <w:color w:val="000000"/>
          <w:sz w:val="24"/>
          <w:szCs w:val="24"/>
        </w:rPr>
        <w:t>Listing for the full hearing</w:t>
      </w:r>
    </w:p>
    <w:p w14:paraId="7AAB3504" w14:textId="77777777" w:rsidR="00AD62F6"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z w:val="24"/>
          <w:szCs w:val="24"/>
        </w:rPr>
        <w:t>The</w:t>
      </w:r>
      <w:r w:rsidRPr="00CA2C15">
        <w:rPr>
          <w:rFonts w:ascii="Calibri" w:eastAsia="Arial" w:hAnsi="Calibri" w:cs="Calibri"/>
          <w:color w:val="000000"/>
          <w:spacing w:val="-2"/>
          <w:sz w:val="24"/>
          <w:szCs w:val="24"/>
        </w:rPr>
        <w:t xml:space="preserve"> </w:t>
      </w:r>
      <w:r w:rsidRPr="00CA2C15">
        <w:rPr>
          <w:rFonts w:ascii="Calibri" w:eastAsia="Times New Roman" w:hAnsi="Calibri" w:cs="Calibri"/>
          <w:sz w:val="24"/>
          <w:szCs w:val="20"/>
          <w:lang w:val="en-GB"/>
        </w:rPr>
        <w:t>Administrative</w:t>
      </w:r>
      <w:r w:rsidRPr="00CA2C15">
        <w:rPr>
          <w:rFonts w:ascii="Calibri" w:eastAsia="Arial" w:hAnsi="Calibri" w:cs="Calibri"/>
          <w:color w:val="000000"/>
          <w:spacing w:val="-2"/>
          <w:sz w:val="24"/>
          <w:szCs w:val="24"/>
        </w:rPr>
        <w:t xml:space="preserve"> Court’s listing policy is set out at</w:t>
      </w:r>
    </w:p>
    <w:p w14:paraId="32B2654D" w14:textId="049C02D1" w:rsidR="005506C8" w:rsidRPr="00CA2C15" w:rsidRDefault="005506C8" w:rsidP="005506C8">
      <w:pPr>
        <w:spacing w:after="240" w:line="360" w:lineRule="auto"/>
        <w:ind w:left="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https://www.judiciary.uk/guidance-and-resources/administrative-court-listing-policy-updated-june-2021-2/</w:t>
      </w:r>
    </w:p>
    <w:p w14:paraId="36FAF6AA" w14:textId="6C4F1D9D" w:rsidR="00B935ED" w:rsidRPr="00CA2C15" w:rsidRDefault="00B935ED" w:rsidP="00E36EC3">
      <w:pPr>
        <w:pStyle w:val="ListParagraph"/>
        <w:numPr>
          <w:ilvl w:val="0"/>
          <w:numId w:val="4"/>
        </w:numPr>
        <w:tabs>
          <w:tab w:val="left" w:pos="709"/>
        </w:tabs>
        <w:spacing w:after="240" w:line="360" w:lineRule="auto"/>
        <w:ind w:left="709" w:right="288" w:hanging="709"/>
        <w:jc w:val="both"/>
        <w:textAlignment w:val="baseline"/>
        <w:rPr>
          <w:rFonts w:ascii="Calibri" w:eastAsia="Arial" w:hAnsi="Calibri" w:cs="Calibri"/>
          <w:color w:val="000000"/>
          <w:sz w:val="24"/>
          <w:szCs w:val="24"/>
        </w:rPr>
      </w:pPr>
      <w:r w:rsidRPr="00CA2C15">
        <w:rPr>
          <w:rFonts w:ascii="Calibri" w:eastAsia="Arial" w:hAnsi="Calibri" w:cs="Calibri"/>
          <w:color w:val="000000"/>
          <w:sz w:val="24"/>
          <w:szCs w:val="24"/>
        </w:rPr>
        <w:t xml:space="preserve">Where counsel are on the record then the court usually attempts to fix a date </w:t>
      </w:r>
      <w:r w:rsidRPr="00CA2C15">
        <w:rPr>
          <w:rFonts w:ascii="Calibri" w:eastAsia="Times New Roman" w:hAnsi="Calibri" w:cs="Calibri"/>
          <w:sz w:val="24"/>
          <w:szCs w:val="20"/>
          <w:lang w:val="en-GB"/>
        </w:rPr>
        <w:t>convenient</w:t>
      </w:r>
      <w:r w:rsidRPr="00CA2C15">
        <w:rPr>
          <w:rFonts w:ascii="Calibri" w:eastAsia="Arial" w:hAnsi="Calibri" w:cs="Calibri"/>
          <w:color w:val="000000"/>
          <w:sz w:val="24"/>
          <w:szCs w:val="24"/>
        </w:rPr>
        <w:t xml:space="preserve"> to counsel. Some cases are placed in the short warned list where they are liable to be called on at less than a day’s notice from the warned date.</w:t>
      </w:r>
    </w:p>
    <w:p w14:paraId="54D5B66E" w14:textId="7777777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Note that if you act for an intervener there are sometimes difficulties with ensuring that the court takes account of your counsel’s availability, despite you </w:t>
      </w:r>
      <w:r w:rsidRPr="00CA2C15">
        <w:rPr>
          <w:rFonts w:ascii="Calibri" w:eastAsia="Times New Roman" w:hAnsi="Calibri" w:cs="Calibri"/>
          <w:sz w:val="24"/>
          <w:szCs w:val="20"/>
          <w:lang w:val="en-GB"/>
        </w:rPr>
        <w:t>having</w:t>
      </w:r>
      <w:r w:rsidRPr="00CA2C15">
        <w:rPr>
          <w:rFonts w:ascii="Calibri" w:eastAsia="Arial" w:hAnsi="Calibri" w:cs="Calibri"/>
          <w:color w:val="000000"/>
          <w:sz w:val="24"/>
          <w:szCs w:val="24"/>
        </w:rPr>
        <w:t xml:space="preserve"> been granted permission to intervene. It is essential to ensure that the court records have been updated to include your legal team’s details as this does not always happen automatically once permission to intervene is granted.</w:t>
      </w:r>
    </w:p>
    <w:p w14:paraId="0F7FC239" w14:textId="2CFFEE13" w:rsidR="00EA1737"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The parties must keep the </w:t>
      </w:r>
      <w:r w:rsidR="004718D7" w:rsidRPr="00CA2C15">
        <w:rPr>
          <w:rFonts w:ascii="Calibri" w:eastAsia="Arial" w:hAnsi="Calibri" w:cs="Calibri"/>
          <w:color w:val="000000"/>
          <w:spacing w:val="-2"/>
          <w:sz w:val="24"/>
          <w:szCs w:val="24"/>
        </w:rPr>
        <w:t>c</w:t>
      </w:r>
      <w:r w:rsidRPr="00CA2C15">
        <w:rPr>
          <w:rFonts w:ascii="Calibri" w:eastAsia="Arial" w:hAnsi="Calibri" w:cs="Calibri"/>
          <w:color w:val="000000"/>
          <w:spacing w:val="-2"/>
          <w:sz w:val="24"/>
          <w:szCs w:val="24"/>
        </w:rPr>
        <w:t xml:space="preserve">ourt informed of any matters likely to affect the length of </w:t>
      </w:r>
      <w:r w:rsidRPr="00CA2C15">
        <w:rPr>
          <w:rFonts w:ascii="Calibri" w:eastAsia="Arial" w:hAnsi="Calibri" w:cs="Calibri"/>
          <w:color w:val="000000"/>
          <w:sz w:val="24"/>
          <w:szCs w:val="24"/>
        </w:rPr>
        <w:t>the</w:t>
      </w:r>
      <w:r w:rsidRPr="00CA2C15">
        <w:rPr>
          <w:rFonts w:ascii="Calibri" w:eastAsia="Arial" w:hAnsi="Calibri" w:cs="Calibri"/>
          <w:color w:val="000000"/>
          <w:spacing w:val="-2"/>
          <w:sz w:val="24"/>
          <w:szCs w:val="24"/>
        </w:rPr>
        <w:t xml:space="preserve"> hearing. They must also notify the court if there is a good reason for it </w:t>
      </w:r>
      <w:r w:rsidRPr="00CA2C15">
        <w:rPr>
          <w:rFonts w:ascii="Calibri" w:eastAsia="Arial" w:hAnsi="Calibri" w:cs="Calibri"/>
          <w:color w:val="000000"/>
          <w:sz w:val="24"/>
          <w:szCs w:val="24"/>
        </w:rPr>
        <w:t>not</w:t>
      </w:r>
      <w:r w:rsidRPr="00CA2C15">
        <w:rPr>
          <w:rFonts w:ascii="Calibri" w:eastAsia="Arial" w:hAnsi="Calibri" w:cs="Calibri"/>
          <w:color w:val="000000"/>
          <w:spacing w:val="-2"/>
          <w:sz w:val="24"/>
          <w:szCs w:val="24"/>
        </w:rPr>
        <w:t xml:space="preserve"> to be listed (e.g. settlement negotiations).</w:t>
      </w:r>
    </w:p>
    <w:p w14:paraId="7C9E3103" w14:textId="76EFC652"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pacing w:val="-2"/>
          <w:sz w:val="24"/>
          <w:szCs w:val="24"/>
        </w:rPr>
      </w:pPr>
      <w:r w:rsidRPr="00CA2C15">
        <w:rPr>
          <w:rFonts w:ascii="Calibri" w:eastAsia="Arial" w:hAnsi="Calibri" w:cs="Calibri"/>
          <w:b/>
          <w:bCs/>
          <w:color w:val="000000"/>
          <w:spacing w:val="-1"/>
          <w:sz w:val="24"/>
          <w:szCs w:val="24"/>
        </w:rPr>
        <w:t>Determination without a hearing</w:t>
      </w:r>
    </w:p>
    <w:p w14:paraId="0235B571" w14:textId="487A5185" w:rsidR="00F54AB7"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Under CPR 54.18 the “court may decide the claim for judicial review without a </w:t>
      </w:r>
      <w:r w:rsidRPr="00CA2C15">
        <w:rPr>
          <w:rFonts w:ascii="Calibri" w:eastAsia="Arial" w:hAnsi="Calibri" w:cs="Calibri"/>
          <w:color w:val="000000"/>
          <w:sz w:val="24"/>
          <w:szCs w:val="24"/>
        </w:rPr>
        <w:t>hearing</w:t>
      </w:r>
      <w:r w:rsidRPr="00CA2C15">
        <w:rPr>
          <w:rFonts w:ascii="Calibri" w:eastAsia="Arial" w:hAnsi="Calibri" w:cs="Calibri"/>
          <w:color w:val="000000"/>
          <w:spacing w:val="-2"/>
          <w:sz w:val="24"/>
          <w:szCs w:val="24"/>
        </w:rPr>
        <w:t xml:space="preserve"> where all the parties agree”. This will normally be suitable for simple cases </w:t>
      </w:r>
      <w:r w:rsidRPr="00CA2C15">
        <w:rPr>
          <w:rFonts w:ascii="Calibri" w:eastAsia="Arial" w:hAnsi="Calibri" w:cs="Calibri"/>
          <w:color w:val="000000"/>
          <w:sz w:val="24"/>
          <w:szCs w:val="24"/>
        </w:rPr>
        <w:t>only</w:t>
      </w:r>
      <w:r w:rsidRPr="00CA2C15">
        <w:rPr>
          <w:rFonts w:ascii="Calibri" w:eastAsia="Arial" w:hAnsi="Calibri" w:cs="Calibri"/>
          <w:color w:val="000000"/>
          <w:spacing w:val="-2"/>
          <w:sz w:val="24"/>
          <w:szCs w:val="24"/>
        </w:rPr>
        <w:t xml:space="preserve"> but might also be used to “tie-break” where the parties have </w:t>
      </w:r>
      <w:r w:rsidRPr="00CA2C15">
        <w:rPr>
          <w:rFonts w:ascii="Calibri" w:eastAsia="Times New Roman" w:hAnsi="Calibri" w:cs="Calibri"/>
          <w:sz w:val="24"/>
          <w:szCs w:val="20"/>
          <w:lang w:val="en-GB"/>
        </w:rPr>
        <w:t>agreed</w:t>
      </w:r>
      <w:r w:rsidRPr="00CA2C15">
        <w:rPr>
          <w:rFonts w:ascii="Calibri" w:eastAsia="Arial" w:hAnsi="Calibri" w:cs="Calibri"/>
          <w:color w:val="000000"/>
          <w:spacing w:val="-2"/>
          <w:sz w:val="24"/>
          <w:szCs w:val="24"/>
        </w:rPr>
        <w:t xml:space="preserve"> on everything apart from a discrete issue but do not want to incur the </w:t>
      </w:r>
      <w:r w:rsidRPr="00CA2C15">
        <w:rPr>
          <w:rFonts w:ascii="Calibri" w:eastAsia="Arial" w:hAnsi="Calibri" w:cs="Calibri"/>
          <w:color w:val="000000"/>
          <w:sz w:val="24"/>
          <w:szCs w:val="24"/>
        </w:rPr>
        <w:t>costs</w:t>
      </w:r>
      <w:r w:rsidRPr="00CA2C15">
        <w:rPr>
          <w:rFonts w:ascii="Calibri" w:eastAsia="Arial" w:hAnsi="Calibri" w:cs="Calibri"/>
          <w:color w:val="000000"/>
          <w:spacing w:val="-2"/>
          <w:sz w:val="24"/>
          <w:szCs w:val="24"/>
        </w:rPr>
        <w:t xml:space="preserve"> of a hearing. The rules and practice direction do not set out any procedures for dealing with a case in this way</w:t>
      </w:r>
      <w:r w:rsidR="00F277AC" w:rsidRPr="00CA2C15">
        <w:rPr>
          <w:rFonts w:ascii="Calibri" w:eastAsia="Arial" w:hAnsi="Calibri" w:cs="Calibri"/>
          <w:color w:val="000000"/>
          <w:spacing w:val="-2"/>
          <w:sz w:val="24"/>
          <w:szCs w:val="24"/>
        </w:rPr>
        <w:t>.</w:t>
      </w:r>
    </w:p>
    <w:p w14:paraId="3A06BDEC" w14:textId="715D079F" w:rsidR="00E07786"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pacing w:val="-2"/>
          <w:sz w:val="24"/>
          <w:szCs w:val="24"/>
        </w:rPr>
        <w:t xml:space="preserve">Once permission has been granted then the </w:t>
      </w:r>
      <w:r w:rsidR="004718D7" w:rsidRPr="00CA2C15">
        <w:rPr>
          <w:rFonts w:ascii="Calibri" w:eastAsia="Arial" w:hAnsi="Calibri" w:cs="Calibri"/>
          <w:color w:val="000000"/>
          <w:spacing w:val="-2"/>
          <w:sz w:val="24"/>
          <w:szCs w:val="24"/>
        </w:rPr>
        <w:t>c</w:t>
      </w:r>
      <w:r w:rsidRPr="00CA2C15">
        <w:rPr>
          <w:rFonts w:ascii="Calibri" w:eastAsia="Arial" w:hAnsi="Calibri" w:cs="Calibri"/>
          <w:color w:val="000000"/>
          <w:spacing w:val="-2"/>
          <w:sz w:val="24"/>
          <w:szCs w:val="24"/>
        </w:rPr>
        <w:t xml:space="preserve">ourt does not have any other </w:t>
      </w:r>
      <w:r w:rsidRPr="00CA2C15">
        <w:rPr>
          <w:rFonts w:ascii="Calibri" w:eastAsia="Times New Roman" w:hAnsi="Calibri" w:cs="Calibri"/>
          <w:sz w:val="24"/>
          <w:szCs w:val="20"/>
          <w:lang w:val="en-GB"/>
        </w:rPr>
        <w:t>general</w:t>
      </w:r>
      <w:r w:rsidRPr="00CA2C15">
        <w:rPr>
          <w:rFonts w:ascii="Calibri" w:eastAsia="Arial" w:hAnsi="Calibri" w:cs="Calibri"/>
          <w:color w:val="000000"/>
          <w:spacing w:val="-2"/>
          <w:sz w:val="24"/>
          <w:szCs w:val="24"/>
        </w:rPr>
        <w:t xml:space="preserve"> power to dispose of it without a hearing unless the parties agree – </w:t>
      </w:r>
      <w:r w:rsidRPr="00CA2C15">
        <w:rPr>
          <w:rFonts w:ascii="Calibri" w:eastAsia="Arial" w:hAnsi="Calibri" w:cs="Calibri"/>
          <w:i/>
          <w:iCs/>
          <w:color w:val="000000"/>
          <w:spacing w:val="-2"/>
          <w:sz w:val="24"/>
          <w:szCs w:val="24"/>
        </w:rPr>
        <w:t>BP v. SSHD</w:t>
      </w:r>
      <w:r w:rsidRPr="00CA2C15">
        <w:rPr>
          <w:rFonts w:ascii="Calibri" w:eastAsia="Arial" w:hAnsi="Calibri" w:cs="Calibri"/>
          <w:color w:val="000000"/>
          <w:spacing w:val="-2"/>
          <w:sz w:val="24"/>
          <w:szCs w:val="24"/>
        </w:rPr>
        <w:t xml:space="preserve"> [2011] EWCA Civ 276.</w:t>
      </w:r>
    </w:p>
    <w:p w14:paraId="6F63BFF1" w14:textId="7070FF80" w:rsidR="00FE5750"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Insisting on an oral hearing when it is not needed (e.g. on costs) can be </w:t>
      </w:r>
      <w:r w:rsidRPr="00CA2C15">
        <w:rPr>
          <w:rFonts w:ascii="Calibri" w:eastAsia="Times New Roman" w:hAnsi="Calibri" w:cs="Calibri"/>
          <w:sz w:val="24"/>
          <w:szCs w:val="20"/>
          <w:lang w:val="en-GB"/>
        </w:rPr>
        <w:t>unreasonable</w:t>
      </w:r>
      <w:r w:rsidRPr="00CA2C15">
        <w:rPr>
          <w:rFonts w:ascii="Calibri" w:eastAsia="Arial" w:hAnsi="Calibri" w:cs="Calibri"/>
          <w:color w:val="000000"/>
          <w:sz w:val="24"/>
          <w:szCs w:val="24"/>
        </w:rPr>
        <w:t xml:space="preserve"> conduct meriting an adverse costs order – </w:t>
      </w:r>
      <w:r w:rsidRPr="00CA2C15">
        <w:rPr>
          <w:rFonts w:ascii="Calibri" w:eastAsia="Arial" w:hAnsi="Calibri" w:cs="Calibri"/>
          <w:i/>
          <w:iCs/>
          <w:color w:val="000000"/>
          <w:sz w:val="24"/>
          <w:szCs w:val="24"/>
        </w:rPr>
        <w:t xml:space="preserve">R (J) v. Hackney LBC </w:t>
      </w:r>
      <w:r w:rsidRPr="00CA2C15">
        <w:rPr>
          <w:rFonts w:ascii="Calibri" w:eastAsia="Arial" w:hAnsi="Calibri" w:cs="Calibri"/>
          <w:color w:val="000000"/>
          <w:sz w:val="24"/>
          <w:szCs w:val="24"/>
        </w:rPr>
        <w:t>[2010] EWHC 3021 (Admin).</w:t>
      </w:r>
    </w:p>
    <w:p w14:paraId="1F14EB2C" w14:textId="095E04EE"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pacing w:val="-1"/>
          <w:sz w:val="24"/>
          <w:szCs w:val="24"/>
        </w:rPr>
        <w:t>Timetable and skeleton arguments</w:t>
      </w:r>
    </w:p>
    <w:p w14:paraId="008ECC7B" w14:textId="553CFC61"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Skeleton arguments are dealt with in para. 1</w:t>
      </w:r>
      <w:r w:rsidR="009D26B1" w:rsidRPr="00CA2C15">
        <w:rPr>
          <w:rFonts w:ascii="Calibri" w:eastAsia="Arial" w:hAnsi="Calibri" w:cs="Calibri"/>
          <w:color w:val="000000"/>
          <w:sz w:val="24"/>
          <w:szCs w:val="24"/>
        </w:rPr>
        <w:t>5</w:t>
      </w:r>
      <w:r w:rsidRPr="00CA2C15">
        <w:rPr>
          <w:rFonts w:ascii="Calibri" w:eastAsia="Arial" w:hAnsi="Calibri" w:cs="Calibri"/>
          <w:color w:val="000000"/>
          <w:sz w:val="24"/>
          <w:szCs w:val="24"/>
        </w:rPr>
        <w:t xml:space="preserve"> of CPR PD 54A. The </w:t>
      </w:r>
      <w:r w:rsidR="002D08D5"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must file a skeleton not less than 21 days before the hearing (or warned) date. The </w:t>
      </w:r>
      <w:r w:rsidR="002D08D5" w:rsidRPr="00CA2C15">
        <w:rPr>
          <w:rFonts w:ascii="Calibri" w:eastAsia="Times New Roman" w:hAnsi="Calibri" w:cs="Calibri"/>
          <w:sz w:val="24"/>
          <w:szCs w:val="20"/>
          <w:lang w:val="en-GB"/>
        </w:rPr>
        <w:t>d</w:t>
      </w:r>
      <w:r w:rsidRPr="00CA2C15">
        <w:rPr>
          <w:rFonts w:ascii="Calibri" w:eastAsia="Times New Roman" w:hAnsi="Calibri" w:cs="Calibri"/>
          <w:sz w:val="24"/>
          <w:szCs w:val="20"/>
          <w:lang w:val="en-GB"/>
        </w:rPr>
        <w:t>efendant</w:t>
      </w:r>
      <w:r w:rsidRPr="00CA2C15">
        <w:rPr>
          <w:rFonts w:ascii="Calibri" w:eastAsia="Arial" w:hAnsi="Calibri" w:cs="Calibri"/>
          <w:color w:val="000000"/>
          <w:sz w:val="24"/>
          <w:szCs w:val="24"/>
        </w:rPr>
        <w:t xml:space="preserve"> and any other party wishing to make representations must file their skeleton not less than 14 days before those dates. Failure to observe these time limits may result in “disagreeable” costs orders – </w:t>
      </w:r>
      <w:r w:rsidRPr="00CA2C15">
        <w:rPr>
          <w:rFonts w:ascii="Calibri" w:eastAsia="Arial" w:hAnsi="Calibri" w:cs="Calibri"/>
          <w:i/>
          <w:iCs/>
          <w:color w:val="000000"/>
          <w:sz w:val="24"/>
          <w:szCs w:val="24"/>
        </w:rPr>
        <w:t>Haggis v. DPP</w:t>
      </w:r>
      <w:r w:rsidRPr="00CA2C15">
        <w:rPr>
          <w:rFonts w:ascii="Calibri" w:eastAsia="Arial" w:hAnsi="Calibri" w:cs="Calibri"/>
          <w:color w:val="000000"/>
          <w:sz w:val="24"/>
          <w:szCs w:val="24"/>
        </w:rPr>
        <w:t xml:space="preserve"> [2003] EWHC 2481, para. 30.</w:t>
      </w:r>
    </w:p>
    <w:p w14:paraId="1E2A33DC" w14:textId="35D30848" w:rsidR="00DB1BB5"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z w:val="24"/>
          <w:szCs w:val="24"/>
        </w:rPr>
        <w:t>Skeleton</w:t>
      </w:r>
      <w:r w:rsidRPr="00CA2C15">
        <w:rPr>
          <w:rFonts w:ascii="Calibri" w:eastAsia="Arial" w:hAnsi="Calibri" w:cs="Calibri"/>
          <w:color w:val="000000"/>
          <w:spacing w:val="-2"/>
          <w:sz w:val="24"/>
          <w:szCs w:val="24"/>
        </w:rPr>
        <w:t xml:space="preserve"> arguments may be filed by email</w:t>
      </w:r>
      <w:r w:rsidR="00DE699A" w:rsidRPr="00CA2C15">
        <w:rPr>
          <w:rFonts w:ascii="Calibri" w:eastAsia="Arial" w:hAnsi="Calibri" w:cs="Calibri"/>
          <w:color w:val="000000"/>
          <w:spacing w:val="-2"/>
          <w:sz w:val="24"/>
          <w:szCs w:val="24"/>
        </w:rPr>
        <w:t xml:space="preserve"> and should </w:t>
      </w:r>
      <w:r w:rsidR="00A27985" w:rsidRPr="00CA2C15">
        <w:rPr>
          <w:rFonts w:ascii="Calibri" w:eastAsia="Arial" w:hAnsi="Calibri" w:cs="Calibri"/>
          <w:color w:val="000000"/>
          <w:spacing w:val="-2"/>
          <w:sz w:val="24"/>
          <w:szCs w:val="24"/>
        </w:rPr>
        <w:t>be sent as a Word document and not PDF (See section 20 Administrative Court Judicial Review Guide)</w:t>
      </w:r>
      <w:r w:rsidRPr="00CA2C15">
        <w:rPr>
          <w:rFonts w:ascii="Calibri" w:eastAsia="Arial" w:hAnsi="Calibri" w:cs="Calibri"/>
          <w:color w:val="000000"/>
          <w:spacing w:val="-2"/>
          <w:sz w:val="24"/>
          <w:szCs w:val="24"/>
        </w:rPr>
        <w:t xml:space="preserve"> Each region has its own email address</w:t>
      </w:r>
      <w:r w:rsidR="00251422" w:rsidRPr="00CA2C15">
        <w:rPr>
          <w:rFonts w:ascii="Calibri" w:eastAsia="Arial" w:hAnsi="Calibri" w:cs="Calibri"/>
          <w:color w:val="000000"/>
          <w:spacing w:val="-2"/>
          <w:sz w:val="24"/>
          <w:szCs w:val="24"/>
        </w:rPr>
        <w:t xml:space="preserve"> (see Annex 1 of the Administrative Court Judicial Review Guide)</w:t>
      </w:r>
      <w:r w:rsidRPr="00CA2C15">
        <w:rPr>
          <w:rFonts w:ascii="Calibri" w:eastAsia="Arial" w:hAnsi="Calibri" w:cs="Calibri"/>
          <w:color w:val="000000"/>
          <w:spacing w:val="-2"/>
          <w:sz w:val="24"/>
          <w:szCs w:val="24"/>
        </w:rPr>
        <w:t>. The address for imminent hearings in London is</w:t>
      </w:r>
      <w:r w:rsidR="00853003" w:rsidRPr="00CA2C15">
        <w:rPr>
          <w:rFonts w:ascii="Calibri" w:eastAsia="Arial" w:hAnsi="Calibri" w:cs="Calibri"/>
          <w:color w:val="000000"/>
          <w:spacing w:val="-2"/>
          <w:sz w:val="24"/>
          <w:szCs w:val="24"/>
        </w:rPr>
        <w:t>:</w:t>
      </w:r>
    </w:p>
    <w:p w14:paraId="4383E9F5" w14:textId="54ACEF1D" w:rsidR="00DB1BB5" w:rsidRPr="00CA2C15" w:rsidRDefault="00B935ED" w:rsidP="00DB1BB5">
      <w:pPr>
        <w:spacing w:after="240" w:line="360" w:lineRule="auto"/>
        <w:ind w:left="720"/>
        <w:jc w:val="both"/>
        <w:rPr>
          <w:rFonts w:ascii="Calibri" w:eastAsia="Arial" w:hAnsi="Calibri" w:cs="Calibri"/>
          <w:color w:val="000000"/>
          <w:spacing w:val="-2"/>
          <w:sz w:val="24"/>
          <w:szCs w:val="24"/>
        </w:rPr>
      </w:pPr>
      <w:hyperlink r:id="rId26">
        <w:r w:rsidRPr="00CA2C15">
          <w:rPr>
            <w:rFonts w:ascii="Calibri" w:eastAsia="Arial" w:hAnsi="Calibri" w:cs="Calibri"/>
            <w:color w:val="0000FF"/>
            <w:spacing w:val="-2"/>
            <w:sz w:val="24"/>
            <w:szCs w:val="24"/>
            <w:u w:val="single"/>
          </w:rPr>
          <w:t>London.skeletonarguments@administrativecourtoffice.justice.gov.uk</w:t>
        </w:r>
      </w:hyperlink>
      <w:r w:rsidRPr="00CA2C15">
        <w:rPr>
          <w:rFonts w:ascii="Calibri" w:eastAsia="Arial" w:hAnsi="Calibri" w:cs="Calibri"/>
          <w:color w:val="000000"/>
          <w:spacing w:val="-2"/>
          <w:sz w:val="24"/>
          <w:szCs w:val="24"/>
        </w:rPr>
        <w:t>.</w:t>
      </w:r>
    </w:p>
    <w:p w14:paraId="4EED9BDF" w14:textId="26020052" w:rsidR="00DB1BB5" w:rsidRPr="00CA2C15" w:rsidRDefault="00B935ED" w:rsidP="00DB1BB5">
      <w:pPr>
        <w:spacing w:after="240" w:line="360" w:lineRule="auto"/>
        <w:ind w:left="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There is a template skeleton argument at</w:t>
      </w:r>
      <w:r w:rsidR="00853003" w:rsidRPr="00CA2C15">
        <w:rPr>
          <w:rFonts w:ascii="Calibri" w:eastAsia="Arial" w:hAnsi="Calibri" w:cs="Calibri"/>
          <w:color w:val="000000"/>
          <w:spacing w:val="-2"/>
          <w:sz w:val="24"/>
          <w:szCs w:val="24"/>
        </w:rPr>
        <w:t>:</w:t>
      </w:r>
    </w:p>
    <w:p w14:paraId="2EBB0776" w14:textId="2ED65C8D" w:rsidR="00B935ED" w:rsidRPr="00CA2C15" w:rsidRDefault="00DB1BB5" w:rsidP="00DB1BB5">
      <w:pPr>
        <w:spacing w:after="240" w:line="360" w:lineRule="auto"/>
        <w:ind w:left="720"/>
        <w:jc w:val="both"/>
        <w:rPr>
          <w:rFonts w:ascii="Calibri" w:eastAsia="Arial" w:hAnsi="Calibri" w:cs="Calibri"/>
          <w:color w:val="000000"/>
          <w:spacing w:val="-2"/>
          <w:sz w:val="24"/>
          <w:szCs w:val="24"/>
        </w:rPr>
      </w:pPr>
      <w:hyperlink r:id="rId27" w:history="1">
        <w:r w:rsidRPr="00CA2C15">
          <w:rPr>
            <w:rStyle w:val="Hyperlink"/>
            <w:rFonts w:ascii="Calibri" w:eastAsia="Arial" w:hAnsi="Calibri" w:cs="Calibri"/>
            <w:spacing w:val="-2"/>
            <w:sz w:val="24"/>
            <w:szCs w:val="24"/>
          </w:rPr>
          <w:t>https://www.gov.uk/government/publications/form-ac014-</w:t>
        </w:r>
        <w:r w:rsidRPr="00CA2C15">
          <w:rPr>
            <w:rStyle w:val="Hyperlink"/>
            <w:rFonts w:ascii="Calibri" w:eastAsia="Arial" w:hAnsi="Calibri" w:cs="Calibri"/>
            <w:sz w:val="24"/>
            <w:szCs w:val="24"/>
          </w:rPr>
          <w:t>skeleton-argument-template</w:t>
        </w:r>
      </w:hyperlink>
      <w:r w:rsidRPr="00CA2C15">
        <w:rPr>
          <w:rFonts w:ascii="Calibri" w:eastAsia="Arial" w:hAnsi="Calibri" w:cs="Calibri"/>
          <w:color w:val="000000"/>
          <w:sz w:val="24"/>
          <w:szCs w:val="24"/>
        </w:rPr>
        <w:t xml:space="preserve"> </w:t>
      </w:r>
      <w:r w:rsidR="00B935ED" w:rsidRPr="00CA2C15">
        <w:rPr>
          <w:rFonts w:ascii="Calibri" w:eastAsia="Arial" w:hAnsi="Calibri" w:cs="Calibri"/>
          <w:color w:val="000000"/>
          <w:sz w:val="24"/>
          <w:szCs w:val="24"/>
        </w:rPr>
        <w:t>which prompts advocates to include the date of the hearing, a time estimate for the hearing and a list of pre-reading.</w:t>
      </w:r>
    </w:p>
    <w:p w14:paraId="581A09B4" w14:textId="78D19068"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CPR PD 54A para. 1</w:t>
      </w:r>
      <w:r w:rsidR="00143838" w:rsidRPr="00CA2C15">
        <w:rPr>
          <w:rFonts w:ascii="Calibri" w:eastAsia="Arial" w:hAnsi="Calibri" w:cs="Calibri"/>
          <w:color w:val="000000"/>
          <w:sz w:val="24"/>
          <w:szCs w:val="24"/>
        </w:rPr>
        <w:t>5</w:t>
      </w:r>
      <w:r w:rsidRPr="00CA2C15">
        <w:rPr>
          <w:rFonts w:ascii="Calibri" w:eastAsia="Arial" w:hAnsi="Calibri" w:cs="Calibri"/>
          <w:color w:val="000000"/>
          <w:sz w:val="24"/>
          <w:szCs w:val="24"/>
        </w:rPr>
        <w:t>.1 states that the purpose of a skeleton argument is “to assist the court by setting out as concisely as practicable the arguments upon which a party intends to rely.” Para 1</w:t>
      </w:r>
      <w:r w:rsidR="00F13A7C" w:rsidRPr="00CA2C15">
        <w:rPr>
          <w:rFonts w:ascii="Calibri" w:eastAsia="Arial" w:hAnsi="Calibri" w:cs="Calibri"/>
          <w:color w:val="000000"/>
          <w:sz w:val="24"/>
          <w:szCs w:val="24"/>
        </w:rPr>
        <w:t>5</w:t>
      </w:r>
      <w:r w:rsidRPr="00CA2C15">
        <w:rPr>
          <w:rFonts w:ascii="Calibri" w:eastAsia="Arial" w:hAnsi="Calibri" w:cs="Calibri"/>
          <w:color w:val="000000"/>
          <w:sz w:val="24"/>
          <w:szCs w:val="24"/>
        </w:rPr>
        <w:t>.2 sets out the requirements for a skeleton argument and para 1</w:t>
      </w:r>
      <w:r w:rsidR="00F13A7C" w:rsidRPr="00CA2C15">
        <w:rPr>
          <w:rFonts w:ascii="Calibri" w:eastAsia="Arial" w:hAnsi="Calibri" w:cs="Calibri"/>
          <w:color w:val="000000"/>
          <w:sz w:val="24"/>
          <w:szCs w:val="24"/>
        </w:rPr>
        <w:t>5</w:t>
      </w:r>
      <w:r w:rsidRPr="00CA2C15">
        <w:rPr>
          <w:rFonts w:ascii="Calibri" w:eastAsia="Arial" w:hAnsi="Calibri" w:cs="Calibri"/>
          <w:color w:val="000000"/>
          <w:sz w:val="24"/>
          <w:szCs w:val="24"/>
        </w:rPr>
        <w:t>.3 states that skeleton arguments shall not exceed 25 pages (although the court may grant permission to exceed 25 pages).</w:t>
      </w:r>
    </w:p>
    <w:p w14:paraId="6E4393C1" w14:textId="7ABF90BC" w:rsidR="00E07786"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PD 54A </w:t>
      </w:r>
      <w:r w:rsidRPr="00CA2C15">
        <w:rPr>
          <w:rFonts w:ascii="Calibri" w:eastAsia="Times New Roman" w:hAnsi="Calibri" w:cs="Calibri"/>
          <w:sz w:val="24"/>
          <w:szCs w:val="20"/>
          <w:lang w:val="en-GB"/>
        </w:rPr>
        <w:t>para</w:t>
      </w:r>
      <w:r w:rsidRPr="00CA2C15">
        <w:rPr>
          <w:rFonts w:ascii="Calibri" w:eastAsia="Arial" w:hAnsi="Calibri" w:cs="Calibri"/>
          <w:color w:val="000000"/>
          <w:sz w:val="24"/>
          <w:szCs w:val="24"/>
        </w:rPr>
        <w:t xml:space="preserve"> 1</w:t>
      </w:r>
      <w:r w:rsidR="00F13A7C" w:rsidRPr="00CA2C15">
        <w:rPr>
          <w:rFonts w:ascii="Calibri" w:eastAsia="Arial" w:hAnsi="Calibri" w:cs="Calibri"/>
          <w:color w:val="000000"/>
          <w:sz w:val="24"/>
          <w:szCs w:val="24"/>
        </w:rPr>
        <w:t>5</w:t>
      </w:r>
      <w:r w:rsidRPr="00CA2C15">
        <w:rPr>
          <w:rFonts w:ascii="Calibri" w:eastAsia="Arial" w:hAnsi="Calibri" w:cs="Calibri"/>
          <w:color w:val="000000"/>
          <w:sz w:val="24"/>
          <w:szCs w:val="24"/>
        </w:rPr>
        <w:t>.7 requires the parties to file, not less than 7 days before the date of the hearing:</w:t>
      </w:r>
    </w:p>
    <w:p w14:paraId="29926B94" w14:textId="77777777" w:rsidR="00E07786" w:rsidRPr="00CA2C15" w:rsidRDefault="00B935ED" w:rsidP="004916C0">
      <w:pPr>
        <w:numPr>
          <w:ilvl w:val="0"/>
          <w:numId w:val="19"/>
        </w:numPr>
        <w:tabs>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 </w:t>
      </w:r>
      <w:r w:rsidRPr="00CA2C15">
        <w:rPr>
          <w:rFonts w:ascii="Calibri" w:eastAsia="Times New Roman" w:hAnsi="Calibri" w:cs="Calibri"/>
          <w:sz w:val="24"/>
          <w:szCs w:val="20"/>
          <w:lang w:val="en-GB"/>
        </w:rPr>
        <w:t>agreed</w:t>
      </w:r>
      <w:r w:rsidRPr="00CA2C15">
        <w:rPr>
          <w:rFonts w:ascii="Calibri" w:eastAsia="Arial" w:hAnsi="Calibri" w:cs="Calibri"/>
          <w:color w:val="000000"/>
          <w:sz w:val="24"/>
          <w:szCs w:val="24"/>
        </w:rPr>
        <w:t xml:space="preserve"> list of issues;</w:t>
      </w:r>
    </w:p>
    <w:p w14:paraId="4FD36A4F" w14:textId="77777777" w:rsidR="00E07786" w:rsidRPr="00CA2C15" w:rsidRDefault="00B935ED" w:rsidP="004916C0">
      <w:pPr>
        <w:numPr>
          <w:ilvl w:val="0"/>
          <w:numId w:val="19"/>
        </w:numPr>
        <w:tabs>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 </w:t>
      </w:r>
      <w:r w:rsidRPr="00CA2C15">
        <w:rPr>
          <w:rFonts w:ascii="Calibri" w:eastAsia="Times New Roman" w:hAnsi="Calibri" w:cs="Calibri"/>
          <w:sz w:val="24"/>
          <w:szCs w:val="20"/>
          <w:lang w:val="en-GB"/>
        </w:rPr>
        <w:t>agreed</w:t>
      </w:r>
      <w:r w:rsidRPr="00CA2C15">
        <w:rPr>
          <w:rFonts w:ascii="Calibri" w:eastAsia="Arial" w:hAnsi="Calibri" w:cs="Calibri"/>
          <w:color w:val="000000"/>
          <w:sz w:val="24"/>
          <w:szCs w:val="24"/>
        </w:rPr>
        <w:t xml:space="preserve"> chronology of events (with page references to the hearing bundle); and</w:t>
      </w:r>
    </w:p>
    <w:p w14:paraId="16EF1DBB" w14:textId="1CDC7078" w:rsidR="00B935ED" w:rsidRPr="00CA2C15" w:rsidRDefault="00B935ED" w:rsidP="004916C0">
      <w:pPr>
        <w:numPr>
          <w:ilvl w:val="0"/>
          <w:numId w:val="19"/>
        </w:numPr>
        <w:tabs>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 agreed list of essential documents for advance reading by the court (with </w:t>
      </w:r>
      <w:r w:rsidRPr="00CA2C15">
        <w:rPr>
          <w:rFonts w:ascii="Calibri" w:eastAsia="Times New Roman" w:hAnsi="Calibri" w:cs="Calibri"/>
          <w:sz w:val="24"/>
          <w:szCs w:val="20"/>
          <w:lang w:val="en-GB"/>
        </w:rPr>
        <w:t>page</w:t>
      </w:r>
      <w:r w:rsidRPr="00CA2C15">
        <w:rPr>
          <w:rFonts w:ascii="Calibri" w:eastAsia="Arial" w:hAnsi="Calibri" w:cs="Calibri"/>
          <w:color w:val="000000"/>
          <w:sz w:val="24"/>
          <w:szCs w:val="24"/>
        </w:rPr>
        <w:t xml:space="preserve"> references to the passages relied on) and a time estimate for that reading.</w:t>
      </w:r>
    </w:p>
    <w:p w14:paraId="6E544388" w14:textId="1078781D"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z w:val="24"/>
          <w:szCs w:val="24"/>
        </w:rPr>
        <w:t>Citation</w:t>
      </w:r>
      <w:r w:rsidRPr="00CA2C15">
        <w:rPr>
          <w:rFonts w:ascii="Calibri" w:eastAsia="Arial" w:hAnsi="Calibri" w:cs="Calibri"/>
          <w:color w:val="000000"/>
          <w:spacing w:val="-1"/>
          <w:sz w:val="24"/>
          <w:szCs w:val="24"/>
        </w:rPr>
        <w:t xml:space="preserve"> of authorities should follow the Practice Direction of 9 April 2001 ([2001] 1 WLR 1001). In particular: </w:t>
      </w:r>
      <w:r w:rsidRPr="00CA2C15">
        <w:rPr>
          <w:rFonts w:ascii="Calibri" w:eastAsia="Arial" w:hAnsi="Calibri" w:cs="Calibri"/>
          <w:i/>
          <w:color w:val="000000"/>
          <w:spacing w:val="-1"/>
          <w:sz w:val="24"/>
          <w:szCs w:val="24"/>
        </w:rPr>
        <w:t>“The skeleton should...clearly identify what authorities, and what parts of what authorities, are relied on ...”</w:t>
      </w:r>
      <w:r w:rsidRPr="00CA2C15">
        <w:rPr>
          <w:rFonts w:ascii="Calibri" w:eastAsia="Arial" w:hAnsi="Calibri" w:cs="Calibri"/>
          <w:color w:val="000000"/>
          <w:spacing w:val="-1"/>
          <w:sz w:val="24"/>
          <w:szCs w:val="24"/>
        </w:rPr>
        <w:t xml:space="preserve">; see also Munby LJ’s “afterword” in </w:t>
      </w:r>
      <w:r w:rsidRPr="00CA2C15">
        <w:rPr>
          <w:rFonts w:ascii="Calibri" w:eastAsia="Arial" w:hAnsi="Calibri" w:cs="Calibri"/>
          <w:i/>
          <w:iCs/>
          <w:color w:val="000000"/>
          <w:spacing w:val="-1"/>
          <w:sz w:val="24"/>
          <w:szCs w:val="24"/>
        </w:rPr>
        <w:t>R (B) v. CC Derbyshire Constabulary</w:t>
      </w:r>
      <w:r w:rsidRPr="00CA2C15">
        <w:rPr>
          <w:rFonts w:ascii="Calibri" w:eastAsia="Arial" w:hAnsi="Calibri" w:cs="Calibri"/>
          <w:color w:val="000000"/>
          <w:spacing w:val="-1"/>
          <w:sz w:val="24"/>
          <w:szCs w:val="24"/>
        </w:rPr>
        <w:t xml:space="preserve"> [2011] EWHC </w:t>
      </w:r>
      <w:r w:rsidRPr="00CA2C15">
        <w:rPr>
          <w:rFonts w:ascii="Calibri" w:eastAsia="Arial" w:hAnsi="Calibri" w:cs="Calibri"/>
          <w:color w:val="000000"/>
          <w:sz w:val="24"/>
          <w:szCs w:val="24"/>
        </w:rPr>
        <w:t>2362</w:t>
      </w:r>
      <w:r w:rsidRPr="00CA2C15">
        <w:rPr>
          <w:rFonts w:ascii="Calibri" w:eastAsia="Arial" w:hAnsi="Calibri" w:cs="Calibri"/>
          <w:color w:val="000000"/>
          <w:spacing w:val="-1"/>
          <w:sz w:val="24"/>
          <w:szCs w:val="24"/>
        </w:rPr>
        <w:t xml:space="preserve"> (Admin) at paras. 96-101. In most cases, an authorities bundle should not contain </w:t>
      </w:r>
      <w:r w:rsidRPr="00CA2C15">
        <w:rPr>
          <w:rFonts w:ascii="Calibri" w:eastAsia="Times New Roman" w:hAnsi="Calibri" w:cs="Calibri"/>
          <w:sz w:val="24"/>
          <w:szCs w:val="20"/>
          <w:lang w:val="en-GB"/>
        </w:rPr>
        <w:t>more</w:t>
      </w:r>
      <w:r w:rsidRPr="00CA2C15">
        <w:rPr>
          <w:rFonts w:ascii="Calibri" w:eastAsia="Arial" w:hAnsi="Calibri" w:cs="Calibri"/>
          <w:color w:val="000000"/>
          <w:spacing w:val="-1"/>
          <w:sz w:val="24"/>
          <w:szCs w:val="24"/>
        </w:rPr>
        <w:t xml:space="preserve"> than 10 authorities. Where a decided case is reported in a set of law reports, the report should be used, with preference given to the Official Law Reports: see Practice Direction – Citation of Authorities [2012] 1 WLR 780. Versions downloaded from websites should resemble the hard-copy law report if possible.</w:t>
      </w:r>
    </w:p>
    <w:p w14:paraId="31AFA5E1" w14:textId="1FAAFDB1"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pacing w:val="-1"/>
          <w:sz w:val="24"/>
          <w:szCs w:val="24"/>
        </w:rPr>
        <w:t>At</w:t>
      </w:r>
      <w:r w:rsidRPr="00CA2C15">
        <w:rPr>
          <w:rFonts w:ascii="Calibri" w:eastAsia="Arial" w:hAnsi="Calibri" w:cs="Calibri"/>
          <w:color w:val="000000"/>
          <w:sz w:val="24"/>
          <w:szCs w:val="24"/>
        </w:rPr>
        <w:t xml:space="preserve"> the time of drafting the skeleton argument </w:t>
      </w:r>
      <w:r w:rsidR="00CE7AED"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laimants should also take stock and </w:t>
      </w:r>
      <w:r w:rsidRPr="00CA2C15">
        <w:rPr>
          <w:rFonts w:ascii="Calibri" w:eastAsia="Times New Roman" w:hAnsi="Calibri" w:cs="Calibri"/>
          <w:sz w:val="24"/>
          <w:szCs w:val="20"/>
          <w:lang w:val="en-GB"/>
        </w:rPr>
        <w:t>reconsider</w:t>
      </w:r>
      <w:r w:rsidRPr="00CA2C15">
        <w:rPr>
          <w:rFonts w:ascii="Calibri" w:eastAsia="Arial" w:hAnsi="Calibri" w:cs="Calibri"/>
          <w:color w:val="000000"/>
          <w:sz w:val="24"/>
          <w:szCs w:val="24"/>
        </w:rPr>
        <w:t>:</w:t>
      </w:r>
    </w:p>
    <w:p w14:paraId="3A7B6AC0" w14:textId="7DD32AB7" w:rsidR="00B935ED" w:rsidRPr="00CA2C15" w:rsidRDefault="00B935ED" w:rsidP="004916C0">
      <w:pPr>
        <w:numPr>
          <w:ilvl w:val="0"/>
          <w:numId w:val="3"/>
        </w:numPr>
        <w:tabs>
          <w:tab w:val="clear" w:pos="115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What the object is of the proceedings and what relief the </w:t>
      </w:r>
      <w:r w:rsidR="00CE7AED"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seeks. It is helpful to have a draft of the order that the </w:t>
      </w:r>
      <w:r w:rsidR="00983EE0"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 might be invited to make and to identify the relief sought in the skeleton.</w:t>
      </w:r>
    </w:p>
    <w:p w14:paraId="2BBB2291" w14:textId="77777777" w:rsidR="00B935ED" w:rsidRPr="00CA2C15" w:rsidRDefault="00B935ED" w:rsidP="004916C0">
      <w:pPr>
        <w:numPr>
          <w:ilvl w:val="0"/>
          <w:numId w:val="3"/>
        </w:numPr>
        <w:tabs>
          <w:tab w:val="clear" w:pos="115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Whether it is necessary to pursue all of the arguments initially advanced or </w:t>
      </w:r>
      <w:r w:rsidRPr="00CA2C15">
        <w:rPr>
          <w:rFonts w:ascii="Calibri" w:eastAsia="Times New Roman" w:hAnsi="Calibri" w:cs="Calibri"/>
          <w:sz w:val="24"/>
          <w:szCs w:val="20"/>
          <w:lang w:val="en-GB"/>
        </w:rPr>
        <w:t>whether</w:t>
      </w:r>
      <w:r w:rsidRPr="00CA2C15">
        <w:rPr>
          <w:rFonts w:ascii="Calibri" w:eastAsia="Arial" w:hAnsi="Calibri" w:cs="Calibri"/>
          <w:color w:val="000000"/>
          <w:sz w:val="24"/>
          <w:szCs w:val="24"/>
        </w:rPr>
        <w:t xml:space="preserve"> the case can be more usefully focused:</w:t>
      </w:r>
    </w:p>
    <w:p w14:paraId="4529CDD9" w14:textId="77777777" w:rsidR="00B935ED" w:rsidRPr="00CA2C15" w:rsidRDefault="00B935ED" w:rsidP="00E40295">
      <w:pPr>
        <w:tabs>
          <w:tab w:val="left" w:pos="2376"/>
        </w:tabs>
        <w:spacing w:after="240" w:line="360" w:lineRule="auto"/>
        <w:ind w:left="2304" w:right="360" w:hanging="288"/>
        <w:jc w:val="both"/>
        <w:textAlignment w:val="baseline"/>
        <w:rPr>
          <w:rFonts w:ascii="Calibri" w:eastAsia="Arial" w:hAnsi="Calibri" w:cs="Calibri"/>
          <w:color w:val="000000"/>
          <w:sz w:val="24"/>
          <w:szCs w:val="24"/>
        </w:rPr>
      </w:pPr>
      <w:r w:rsidRPr="00CA2C15">
        <w:rPr>
          <w:rFonts w:ascii="Calibri" w:eastAsia="Arial" w:hAnsi="Calibri" w:cs="Calibri"/>
          <w:color w:val="000000"/>
          <w:sz w:val="24"/>
          <w:szCs w:val="24"/>
        </w:rPr>
        <w:t>i.</w:t>
      </w:r>
      <w:r w:rsidRPr="00CA2C15">
        <w:rPr>
          <w:rFonts w:ascii="Calibri" w:eastAsia="Arial" w:hAnsi="Calibri" w:cs="Calibri"/>
          <w:color w:val="000000"/>
          <w:sz w:val="24"/>
          <w:szCs w:val="24"/>
        </w:rPr>
        <w:tab/>
      </w:r>
      <w:r w:rsidRPr="00CA2C15">
        <w:rPr>
          <w:rFonts w:ascii="Calibri" w:eastAsia="Arial" w:hAnsi="Calibri" w:cs="Calibri"/>
          <w:i/>
          <w:color w:val="000000"/>
          <w:sz w:val="24"/>
          <w:szCs w:val="24"/>
        </w:rPr>
        <w:t xml:space="preserve">“One of the merits of great advocates, as Lord Pearce pointed out in </w:t>
      </w:r>
      <w:r w:rsidRPr="00CA2C15">
        <w:rPr>
          <w:rFonts w:ascii="Calibri" w:eastAsia="Arial" w:hAnsi="Calibri" w:cs="Calibri"/>
          <w:i/>
          <w:color w:val="000000"/>
          <w:sz w:val="24"/>
          <w:szCs w:val="24"/>
          <w:u w:val="single"/>
        </w:rPr>
        <w:t>Rondel v Worsley</w:t>
      </w:r>
      <w:r w:rsidRPr="00CA2C15">
        <w:rPr>
          <w:rFonts w:ascii="Calibri" w:eastAsia="Arial" w:hAnsi="Calibri" w:cs="Calibri"/>
          <w:i/>
          <w:color w:val="000000"/>
          <w:sz w:val="24"/>
          <w:szCs w:val="24"/>
        </w:rPr>
        <w:t xml:space="preserve"> [1969] 1 AC 191 at p 255G, has been the ability ruthlessly to sacrifice nine points and win on the tenth and best... The leave no stone unturned approach is no longer to be encouraged...” </w:t>
      </w:r>
      <w:r w:rsidRPr="00CA2C15">
        <w:rPr>
          <w:rFonts w:ascii="Calibri" w:eastAsia="Arial" w:hAnsi="Calibri" w:cs="Calibri"/>
          <w:color w:val="000000"/>
          <w:sz w:val="24"/>
          <w:szCs w:val="24"/>
        </w:rPr>
        <w:t xml:space="preserve">– Munby J in </w:t>
      </w:r>
      <w:r w:rsidRPr="00CA2C15">
        <w:rPr>
          <w:rFonts w:ascii="Calibri" w:eastAsia="Arial" w:hAnsi="Calibri" w:cs="Calibri"/>
          <w:i/>
          <w:iCs/>
          <w:color w:val="000000"/>
          <w:sz w:val="24"/>
          <w:szCs w:val="24"/>
        </w:rPr>
        <w:t>R (Bateman) v LSC</w:t>
      </w:r>
      <w:r w:rsidRPr="00CA2C15">
        <w:rPr>
          <w:rFonts w:ascii="Calibri" w:eastAsia="Arial" w:hAnsi="Calibri" w:cs="Calibri"/>
          <w:color w:val="000000"/>
          <w:sz w:val="24"/>
          <w:szCs w:val="24"/>
        </w:rPr>
        <w:t xml:space="preserve"> [2001] EWHC Admin 797.</w:t>
      </w:r>
    </w:p>
    <w:p w14:paraId="01C820A6" w14:textId="291AB042" w:rsidR="00E40295" w:rsidRPr="00CA2C15" w:rsidRDefault="000F3B77" w:rsidP="004916C0">
      <w:pPr>
        <w:numPr>
          <w:ilvl w:val="0"/>
          <w:numId w:val="3"/>
        </w:numPr>
        <w:tabs>
          <w:tab w:val="clear" w:pos="115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 </w:t>
      </w:r>
      <w:r w:rsidR="00B935ED" w:rsidRPr="00CA2C15">
        <w:rPr>
          <w:rFonts w:ascii="Calibri" w:eastAsia="Arial" w:hAnsi="Calibri" w:cs="Calibri"/>
          <w:color w:val="000000"/>
          <w:sz w:val="24"/>
          <w:szCs w:val="24"/>
        </w:rPr>
        <w:t xml:space="preserve">What documents (and authorities) are really necessary for the </w:t>
      </w:r>
      <w:r w:rsidR="004A77E8" w:rsidRPr="00CA2C15">
        <w:rPr>
          <w:rFonts w:ascii="Calibri" w:eastAsia="Arial" w:hAnsi="Calibri" w:cs="Calibri"/>
          <w:color w:val="000000"/>
          <w:sz w:val="24"/>
          <w:szCs w:val="24"/>
        </w:rPr>
        <w:t>c</w:t>
      </w:r>
      <w:r w:rsidR="00B935ED" w:rsidRPr="00CA2C15">
        <w:rPr>
          <w:rFonts w:ascii="Calibri" w:eastAsia="Arial" w:hAnsi="Calibri" w:cs="Calibri"/>
          <w:color w:val="000000"/>
          <w:sz w:val="24"/>
          <w:szCs w:val="24"/>
        </w:rPr>
        <w:t xml:space="preserve">ourt. In </w:t>
      </w:r>
      <w:r w:rsidR="00B935ED" w:rsidRPr="00CA2C15">
        <w:rPr>
          <w:rFonts w:ascii="Calibri" w:eastAsia="Arial" w:hAnsi="Calibri" w:cs="Calibri"/>
          <w:i/>
          <w:color w:val="000000"/>
          <w:sz w:val="24"/>
          <w:szCs w:val="24"/>
        </w:rPr>
        <w:t xml:space="preserve">Prokopp </w:t>
      </w:r>
      <w:r w:rsidR="00B935ED" w:rsidRPr="00CA2C15">
        <w:rPr>
          <w:rFonts w:ascii="Calibri" w:eastAsia="Arial" w:hAnsi="Calibri" w:cs="Calibri"/>
          <w:color w:val="000000"/>
          <w:sz w:val="24"/>
          <w:szCs w:val="24"/>
        </w:rPr>
        <w:t>[</w:t>
      </w:r>
      <w:r w:rsidR="00B935ED" w:rsidRPr="00CA2C15">
        <w:rPr>
          <w:rFonts w:ascii="Calibri" w:eastAsia="Times New Roman" w:hAnsi="Calibri" w:cs="Calibri"/>
          <w:sz w:val="24"/>
          <w:szCs w:val="20"/>
          <w:lang w:val="en-GB"/>
        </w:rPr>
        <w:t>2003</w:t>
      </w:r>
      <w:r w:rsidR="00B935ED" w:rsidRPr="00CA2C15">
        <w:rPr>
          <w:rFonts w:ascii="Calibri" w:eastAsia="Arial" w:hAnsi="Calibri" w:cs="Calibri"/>
          <w:color w:val="000000"/>
          <w:sz w:val="24"/>
          <w:szCs w:val="24"/>
        </w:rPr>
        <w:t>] EWCA Civ 961, Schiemann LJ said:</w:t>
      </w:r>
    </w:p>
    <w:p w14:paraId="5167EE2F" w14:textId="20FB321E" w:rsidR="00B935ED" w:rsidRPr="00CA2C15" w:rsidRDefault="00B935ED" w:rsidP="004916C0">
      <w:pPr>
        <w:pStyle w:val="ListParagraph"/>
        <w:numPr>
          <w:ilvl w:val="2"/>
          <w:numId w:val="4"/>
        </w:numPr>
        <w:tabs>
          <w:tab w:val="left" w:pos="1080"/>
        </w:tabs>
        <w:spacing w:after="240" w:line="360" w:lineRule="auto"/>
        <w:ind w:right="504"/>
        <w:contextualSpacing w:val="0"/>
        <w:jc w:val="both"/>
        <w:textAlignment w:val="baseline"/>
        <w:rPr>
          <w:rFonts w:ascii="Calibri" w:eastAsia="Arial" w:hAnsi="Calibri" w:cs="Calibri"/>
          <w:color w:val="000000"/>
          <w:sz w:val="24"/>
          <w:szCs w:val="24"/>
        </w:rPr>
      </w:pPr>
      <w:r w:rsidRPr="00CA2C15">
        <w:rPr>
          <w:rFonts w:ascii="Calibri" w:eastAsia="Arial" w:hAnsi="Calibri" w:cs="Calibri"/>
          <w:i/>
          <w:color w:val="000000"/>
          <w:sz w:val="24"/>
          <w:szCs w:val="24"/>
        </w:rPr>
        <w:t>“Even if one were prepared to accept – which I am not – that they were all relevant to those actions they were certainly not relevant to the appeals before us. Their production before us not only involved a grotesque waste of environmental assets such as trees but an equally grotesque waste of public money and judicial time and energy in laying one’s hand on the few documents and authorities which are relevant. It is the duty of Counsel and solicitors to go through material in order to decide what is relevant. Counsel apparently did this and referred to what they thought was arguably relevant. Yet far more was placed before us.”</w:t>
      </w:r>
    </w:p>
    <w:p w14:paraId="0A437D07" w14:textId="473A76CE" w:rsidR="00E40295"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 receipt for the skeleton should be obtained when lodging it (if done by email there should be an automated confirmation). Spare copies should be taken to the hearing. </w:t>
      </w:r>
      <w:r w:rsidRPr="00CA2C15">
        <w:rPr>
          <w:rFonts w:ascii="Calibri" w:eastAsia="Times New Roman" w:hAnsi="Calibri" w:cs="Calibri"/>
          <w:sz w:val="24"/>
          <w:szCs w:val="20"/>
          <w:lang w:val="en-GB"/>
        </w:rPr>
        <w:t>Skeleton</w:t>
      </w:r>
      <w:r w:rsidRPr="00CA2C15">
        <w:rPr>
          <w:rFonts w:ascii="Calibri" w:eastAsia="Arial" w:hAnsi="Calibri" w:cs="Calibri"/>
          <w:color w:val="000000"/>
          <w:sz w:val="24"/>
          <w:szCs w:val="24"/>
        </w:rPr>
        <w:t xml:space="preserve"> arguments should be kept as short as possible. In most cases skeleton arguments can be set out in 2</w:t>
      </w:r>
      <w:r w:rsidR="009A00CB" w:rsidRPr="00CA2C15">
        <w:rPr>
          <w:rFonts w:ascii="Calibri" w:eastAsia="Arial" w:hAnsi="Calibri" w:cs="Calibri"/>
          <w:color w:val="000000"/>
          <w:sz w:val="24"/>
          <w:szCs w:val="24"/>
        </w:rPr>
        <w:t>5</w:t>
      </w:r>
      <w:r w:rsidRPr="00CA2C15">
        <w:rPr>
          <w:rFonts w:ascii="Calibri" w:eastAsia="Arial" w:hAnsi="Calibri" w:cs="Calibri"/>
          <w:color w:val="000000"/>
          <w:sz w:val="24"/>
          <w:szCs w:val="24"/>
        </w:rPr>
        <w:t xml:space="preserve"> pages or less.</w:t>
      </w:r>
    </w:p>
    <w:p w14:paraId="1F1B3774" w14:textId="21DF33D8"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pacing w:val="-1"/>
          <w:sz w:val="24"/>
          <w:szCs w:val="24"/>
        </w:rPr>
        <w:t>Hearing bundles</w:t>
      </w:r>
    </w:p>
    <w:p w14:paraId="722B2BE3" w14:textId="1A1696FC"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004A77E8" w:rsidRPr="00CA2C15">
        <w:rPr>
          <w:rFonts w:ascii="Calibri" w:eastAsia="Arial" w:hAnsi="Calibri" w:cs="Calibri"/>
          <w:color w:val="000000"/>
          <w:sz w:val="24"/>
          <w:szCs w:val="24"/>
        </w:rPr>
        <w:t>c</w:t>
      </w:r>
      <w:r w:rsidRPr="00CA2C15">
        <w:rPr>
          <w:rFonts w:ascii="Calibri" w:eastAsia="Arial" w:hAnsi="Calibri" w:cs="Calibri"/>
          <w:color w:val="000000"/>
          <w:sz w:val="24"/>
          <w:szCs w:val="24"/>
        </w:rPr>
        <w:t xml:space="preserve">laimant must file a paginated and indexed bundle of documents with the </w:t>
      </w:r>
      <w:r w:rsidRPr="00CA2C15">
        <w:rPr>
          <w:rFonts w:ascii="Calibri" w:eastAsia="Arial" w:hAnsi="Calibri" w:cs="Calibri"/>
          <w:color w:val="000000"/>
          <w:spacing w:val="-1"/>
          <w:sz w:val="24"/>
          <w:szCs w:val="24"/>
        </w:rPr>
        <w:t>court</w:t>
      </w:r>
      <w:r w:rsidRPr="00CA2C15">
        <w:rPr>
          <w:rFonts w:ascii="Calibri" w:eastAsia="Arial" w:hAnsi="Calibri" w:cs="Calibri"/>
          <w:color w:val="000000"/>
          <w:sz w:val="24"/>
          <w:szCs w:val="24"/>
        </w:rPr>
        <w:t xml:space="preserve"> not less than 21 days before the hearing (or warned) date – which will usually also be the deadline for the </w:t>
      </w:r>
      <w:r w:rsidR="004A77E8"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laimant’s skeleton argument – CPR PD 54A, para. 1</w:t>
      </w:r>
      <w:r w:rsidR="009D5201" w:rsidRPr="00CA2C15">
        <w:rPr>
          <w:rFonts w:ascii="Calibri" w:eastAsia="Arial" w:hAnsi="Calibri" w:cs="Calibri"/>
          <w:color w:val="000000"/>
          <w:sz w:val="24"/>
          <w:szCs w:val="24"/>
        </w:rPr>
        <w:t>6</w:t>
      </w:r>
      <w:r w:rsidRPr="00CA2C15">
        <w:rPr>
          <w:rFonts w:ascii="Calibri" w:eastAsia="Arial" w:hAnsi="Calibri" w:cs="Calibri"/>
          <w:color w:val="000000"/>
          <w:sz w:val="24"/>
          <w:szCs w:val="24"/>
        </w:rPr>
        <w:t>.3. The contents of the bundle must be agreed between the parties. Where the hearing bundle exceeds 400 pages, the parties shall agree the content of a core bundle containing the decision under challenge, the pleadings and such documents as the parties consider essential for the purposes of the hearing (CPR PD 54A para. 1</w:t>
      </w:r>
      <w:r w:rsidR="004D430D" w:rsidRPr="00CA2C15">
        <w:rPr>
          <w:rFonts w:ascii="Calibri" w:eastAsia="Arial" w:hAnsi="Calibri" w:cs="Calibri"/>
          <w:color w:val="000000"/>
          <w:sz w:val="24"/>
          <w:szCs w:val="24"/>
        </w:rPr>
        <w:t>6</w:t>
      </w:r>
      <w:r w:rsidRPr="00CA2C15">
        <w:rPr>
          <w:rFonts w:ascii="Calibri" w:eastAsia="Arial" w:hAnsi="Calibri" w:cs="Calibri"/>
          <w:color w:val="000000"/>
          <w:sz w:val="24"/>
          <w:szCs w:val="24"/>
        </w:rPr>
        <w:t>.1).</w:t>
      </w:r>
    </w:p>
    <w:p w14:paraId="61DA7A1B" w14:textId="41A285C4" w:rsidR="00E40295"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The requirement to agree a bundle of authorities is in CPR PD 54A, para. 1</w:t>
      </w:r>
      <w:r w:rsidR="004D430D" w:rsidRPr="00CA2C15">
        <w:rPr>
          <w:rFonts w:ascii="Calibri" w:eastAsia="Arial" w:hAnsi="Calibri" w:cs="Calibri"/>
          <w:color w:val="000000"/>
          <w:spacing w:val="-2"/>
          <w:sz w:val="24"/>
          <w:szCs w:val="24"/>
        </w:rPr>
        <w:t>6</w:t>
      </w:r>
      <w:r w:rsidRPr="00CA2C15">
        <w:rPr>
          <w:rFonts w:ascii="Calibri" w:eastAsia="Arial" w:hAnsi="Calibri" w:cs="Calibri"/>
          <w:color w:val="000000"/>
          <w:spacing w:val="-2"/>
          <w:sz w:val="24"/>
          <w:szCs w:val="24"/>
        </w:rPr>
        <w:t>.4. It should be lodged in both electronic form and hard copy not less than 7 days before the hearing (or warned) date: para. 1</w:t>
      </w:r>
      <w:r w:rsidR="004D430D" w:rsidRPr="00CA2C15">
        <w:rPr>
          <w:rFonts w:ascii="Calibri" w:eastAsia="Arial" w:hAnsi="Calibri" w:cs="Calibri"/>
          <w:color w:val="000000"/>
          <w:spacing w:val="-2"/>
          <w:sz w:val="24"/>
          <w:szCs w:val="24"/>
        </w:rPr>
        <w:t>6</w:t>
      </w:r>
      <w:r w:rsidRPr="00CA2C15">
        <w:rPr>
          <w:rFonts w:ascii="Calibri" w:eastAsia="Arial" w:hAnsi="Calibri" w:cs="Calibri"/>
          <w:color w:val="000000"/>
          <w:spacing w:val="-2"/>
          <w:sz w:val="24"/>
          <w:szCs w:val="24"/>
        </w:rPr>
        <w:t>.5.</w:t>
      </w:r>
    </w:p>
    <w:p w14:paraId="00C1C850" w14:textId="67F917BC"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pacing w:val="-2"/>
          <w:sz w:val="24"/>
          <w:szCs w:val="24"/>
        </w:rPr>
      </w:pPr>
      <w:r w:rsidRPr="00CA2C15">
        <w:rPr>
          <w:rFonts w:ascii="Calibri" w:eastAsia="Arial" w:hAnsi="Calibri" w:cs="Calibri"/>
          <w:b/>
          <w:bCs/>
          <w:color w:val="000000"/>
          <w:spacing w:val="-2"/>
          <w:sz w:val="24"/>
          <w:szCs w:val="24"/>
        </w:rPr>
        <w:t>Running Order and Timetable</w:t>
      </w:r>
    </w:p>
    <w:p w14:paraId="72E8E986" w14:textId="105E033C" w:rsidR="006525A9" w:rsidRPr="00CA2C15" w:rsidRDefault="00B935ED" w:rsidP="00853003">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The usual running order in a judicial review is that the </w:t>
      </w:r>
      <w:r w:rsidR="00863C6D" w:rsidRPr="00CA2C15">
        <w:rPr>
          <w:rFonts w:ascii="Calibri" w:eastAsia="Arial" w:hAnsi="Calibri" w:cs="Calibri"/>
          <w:color w:val="000000" w:themeColor="text1"/>
          <w:sz w:val="24"/>
          <w:szCs w:val="24"/>
        </w:rPr>
        <w:t>c</w:t>
      </w:r>
      <w:r w:rsidRPr="00CA2C15">
        <w:rPr>
          <w:rFonts w:ascii="Calibri" w:eastAsia="Arial" w:hAnsi="Calibri" w:cs="Calibri"/>
          <w:color w:val="000000"/>
          <w:spacing w:val="-2"/>
          <w:sz w:val="24"/>
          <w:szCs w:val="24"/>
        </w:rPr>
        <w:t xml:space="preserve">laimant goes first; the </w:t>
      </w:r>
      <w:r w:rsidR="00863C6D" w:rsidRPr="00CA2C15">
        <w:rPr>
          <w:rFonts w:ascii="Calibri" w:eastAsia="Arial" w:hAnsi="Calibri" w:cs="Calibri"/>
          <w:color w:val="000000" w:themeColor="text1"/>
          <w:sz w:val="24"/>
          <w:szCs w:val="24"/>
        </w:rPr>
        <w:t>d</w:t>
      </w:r>
      <w:r w:rsidRPr="00CA2C15">
        <w:rPr>
          <w:rFonts w:ascii="Calibri" w:eastAsia="Arial" w:hAnsi="Calibri" w:cs="Calibri"/>
          <w:color w:val="000000"/>
          <w:spacing w:val="-1"/>
          <w:sz w:val="24"/>
          <w:szCs w:val="24"/>
        </w:rPr>
        <w:t>efendant</w:t>
      </w:r>
      <w:r w:rsidRPr="00CA2C15">
        <w:rPr>
          <w:rFonts w:ascii="Calibri" w:eastAsia="Arial" w:hAnsi="Calibri" w:cs="Calibri"/>
          <w:color w:val="000000"/>
          <w:spacing w:val="-2"/>
          <w:sz w:val="24"/>
          <w:szCs w:val="24"/>
        </w:rPr>
        <w:t xml:space="preserve"> responds; and </w:t>
      </w:r>
      <w:r w:rsidRPr="00CA2C15">
        <w:rPr>
          <w:rFonts w:ascii="Calibri" w:eastAsia="Arial" w:hAnsi="Calibri" w:cs="Calibri"/>
          <w:color w:val="000000"/>
          <w:sz w:val="24"/>
          <w:szCs w:val="24"/>
        </w:rPr>
        <w:t>the</w:t>
      </w:r>
      <w:r w:rsidRPr="00CA2C15">
        <w:rPr>
          <w:rFonts w:ascii="Calibri" w:eastAsia="Arial" w:hAnsi="Calibri" w:cs="Calibri"/>
          <w:color w:val="000000"/>
          <w:spacing w:val="-2"/>
          <w:sz w:val="24"/>
          <w:szCs w:val="24"/>
        </w:rPr>
        <w:t xml:space="preserve"> </w:t>
      </w:r>
      <w:r w:rsidR="00863C6D" w:rsidRPr="00CA2C15">
        <w:rPr>
          <w:rFonts w:ascii="Calibri" w:eastAsia="Arial" w:hAnsi="Calibri" w:cs="Calibri"/>
          <w:color w:val="000000" w:themeColor="text1"/>
          <w:sz w:val="24"/>
          <w:szCs w:val="24"/>
        </w:rPr>
        <w:t>c</w:t>
      </w:r>
      <w:r w:rsidRPr="00CA2C15">
        <w:rPr>
          <w:rFonts w:ascii="Calibri" w:eastAsia="Arial" w:hAnsi="Calibri" w:cs="Calibri"/>
          <w:color w:val="000000"/>
          <w:spacing w:val="-2"/>
          <w:sz w:val="24"/>
          <w:szCs w:val="24"/>
        </w:rPr>
        <w:t xml:space="preserve">laimant then has the last word, in the form of a reply </w:t>
      </w:r>
      <w:r w:rsidRPr="00CA2C15">
        <w:rPr>
          <w:rFonts w:ascii="Calibri" w:eastAsia="Arial" w:hAnsi="Calibri" w:cs="Calibri"/>
          <w:color w:val="000000"/>
          <w:sz w:val="24"/>
          <w:szCs w:val="24"/>
        </w:rPr>
        <w:t>at</w:t>
      </w:r>
      <w:r w:rsidRPr="00CA2C15">
        <w:rPr>
          <w:rFonts w:ascii="Calibri" w:eastAsia="Arial" w:hAnsi="Calibri" w:cs="Calibri"/>
          <w:color w:val="000000"/>
          <w:spacing w:val="-2"/>
          <w:sz w:val="24"/>
          <w:szCs w:val="24"/>
        </w:rPr>
        <w:t xml:space="preserve"> the end of the hearing. </w:t>
      </w:r>
      <w:r w:rsidR="00382872" w:rsidRPr="00CA2C15">
        <w:rPr>
          <w:rFonts w:ascii="Calibri" w:eastAsia="Arial" w:hAnsi="Calibri" w:cs="Calibri"/>
          <w:color w:val="000000" w:themeColor="text1"/>
          <w:sz w:val="24"/>
          <w:szCs w:val="24"/>
        </w:rPr>
        <w:t xml:space="preserve">The timetable </w:t>
      </w:r>
      <w:r w:rsidR="00F63062" w:rsidRPr="00CA2C15">
        <w:rPr>
          <w:rFonts w:ascii="Calibri" w:eastAsia="Arial" w:hAnsi="Calibri" w:cs="Calibri"/>
          <w:color w:val="000000" w:themeColor="text1"/>
          <w:sz w:val="24"/>
          <w:szCs w:val="24"/>
        </w:rPr>
        <w:t xml:space="preserve">for submissions is usually agreed in advance by counsel. In more complex cases, particularly where there are a number of parties or interveners, both the running order and the timetable for submissions </w:t>
      </w:r>
      <w:r w:rsidR="0081777A" w:rsidRPr="00CA2C15">
        <w:rPr>
          <w:rFonts w:ascii="Calibri" w:eastAsia="Arial" w:hAnsi="Calibri" w:cs="Calibri"/>
          <w:color w:val="000000" w:themeColor="text1"/>
          <w:sz w:val="24"/>
          <w:szCs w:val="24"/>
        </w:rPr>
        <w:t>may require more negotiation to agree.</w:t>
      </w:r>
    </w:p>
    <w:p w14:paraId="65F34698" w14:textId="009BC533" w:rsidR="00E40295" w:rsidRPr="00CA2C15" w:rsidRDefault="00B935ED" w:rsidP="00DB1BB5">
      <w:pPr>
        <w:spacing w:after="240" w:line="360" w:lineRule="auto"/>
        <w:ind w:firstLine="720"/>
        <w:textAlignment w:val="baseline"/>
        <w:rPr>
          <w:rFonts w:ascii="Calibri" w:eastAsia="Arial" w:hAnsi="Calibri" w:cs="Calibri"/>
          <w:b/>
          <w:color w:val="000000"/>
          <w:spacing w:val="-5"/>
          <w:sz w:val="24"/>
          <w:szCs w:val="24"/>
          <w:u w:val="single"/>
        </w:rPr>
      </w:pPr>
      <w:r w:rsidRPr="00CA2C15">
        <w:rPr>
          <w:rFonts w:ascii="Calibri" w:eastAsia="Arial" w:hAnsi="Calibri" w:cs="Calibri"/>
          <w:b/>
          <w:color w:val="000000"/>
          <w:spacing w:val="-5"/>
          <w:sz w:val="24"/>
          <w:szCs w:val="24"/>
          <w:u w:val="single"/>
        </w:rPr>
        <w:t>THE HEARING</w:t>
      </w:r>
    </w:p>
    <w:p w14:paraId="7209C5BE" w14:textId="1B59FAB2" w:rsidR="00B935ED" w:rsidRPr="00CA2C15" w:rsidRDefault="00B935ED" w:rsidP="00DB1BB5">
      <w:pPr>
        <w:spacing w:after="240" w:line="360" w:lineRule="auto"/>
        <w:ind w:firstLine="720"/>
        <w:textAlignment w:val="baseline"/>
        <w:rPr>
          <w:rFonts w:ascii="Calibri" w:eastAsia="Arial" w:hAnsi="Calibri" w:cs="Calibri"/>
          <w:b/>
          <w:color w:val="000000"/>
          <w:spacing w:val="-5"/>
          <w:sz w:val="24"/>
          <w:szCs w:val="24"/>
          <w:u w:val="single"/>
        </w:rPr>
      </w:pPr>
      <w:r w:rsidRPr="00CA2C15">
        <w:rPr>
          <w:rFonts w:ascii="Calibri" w:eastAsia="Arial" w:hAnsi="Calibri" w:cs="Calibri"/>
          <w:b/>
          <w:color w:val="000000"/>
          <w:spacing w:val="-2"/>
          <w:sz w:val="24"/>
          <w:szCs w:val="24"/>
        </w:rPr>
        <w:t>Composition of the Court</w:t>
      </w:r>
    </w:p>
    <w:p w14:paraId="7BF3F7A4" w14:textId="032917E9" w:rsidR="00B935ED" w:rsidRPr="00CA2C15" w:rsidRDefault="00DC6F98"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Judicial review claims in c</w:t>
      </w:r>
      <w:r w:rsidR="00B935ED" w:rsidRPr="00CA2C15">
        <w:rPr>
          <w:rFonts w:ascii="Calibri" w:eastAsia="Arial" w:hAnsi="Calibri" w:cs="Calibri"/>
          <w:color w:val="000000"/>
          <w:sz w:val="24"/>
          <w:szCs w:val="24"/>
        </w:rPr>
        <w:t xml:space="preserve">riminal cases may be heard by a single judge or by a Divisional Court of two judges (one from the Court of Appeal and one from the High Court). Simpler cases will ordinarily be suitable for decision by a single judge but note that only a </w:t>
      </w:r>
      <w:r w:rsidR="00B935ED" w:rsidRPr="00CA2C15">
        <w:rPr>
          <w:rFonts w:ascii="Calibri" w:eastAsia="Arial" w:hAnsi="Calibri" w:cs="Calibri"/>
          <w:color w:val="000000"/>
          <w:spacing w:val="-1"/>
          <w:sz w:val="24"/>
          <w:szCs w:val="24"/>
        </w:rPr>
        <w:t>Divisional</w:t>
      </w:r>
      <w:r w:rsidR="00B935ED" w:rsidRPr="00CA2C15">
        <w:rPr>
          <w:rFonts w:ascii="Calibri" w:eastAsia="Arial" w:hAnsi="Calibri" w:cs="Calibri"/>
          <w:color w:val="000000"/>
          <w:sz w:val="24"/>
          <w:szCs w:val="24"/>
        </w:rPr>
        <w:t xml:space="preserve"> Court has power to make a </w:t>
      </w:r>
      <w:r w:rsidR="00632E2B" w:rsidRPr="00CA2C15">
        <w:rPr>
          <w:rFonts w:ascii="Calibri" w:eastAsia="Arial" w:hAnsi="Calibri" w:cs="Calibri"/>
          <w:color w:val="000000"/>
          <w:sz w:val="24"/>
          <w:szCs w:val="24"/>
        </w:rPr>
        <w:t>d</w:t>
      </w:r>
      <w:r w:rsidR="00B935ED" w:rsidRPr="00CA2C15">
        <w:rPr>
          <w:rFonts w:ascii="Calibri" w:eastAsia="Arial" w:hAnsi="Calibri" w:cs="Calibri"/>
          <w:color w:val="000000"/>
          <w:sz w:val="24"/>
          <w:szCs w:val="24"/>
        </w:rPr>
        <w:t>efendant’s costs order in a criminal case – s 16(5) Prosecution of Offences Act 1985.</w:t>
      </w:r>
    </w:p>
    <w:p w14:paraId="597044E4" w14:textId="7777777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Civil cases are ordinarily heard by a single judge. The order granting permission may state that the case is suitable for decision by a deputy judge or specify more than one judge. In particularly important cases a Divisional Court will be convened – for example, Divisional Courts have recently considered the challenges to the Secretary of State for Work and Pensions’ policies concerning the so-called ‘bedroom tax’ (</w:t>
      </w:r>
      <w:r w:rsidRPr="00CA2C15">
        <w:rPr>
          <w:rFonts w:ascii="Calibri" w:eastAsia="Arial" w:hAnsi="Calibri" w:cs="Calibri"/>
          <w:i/>
          <w:iCs/>
          <w:color w:val="000000"/>
          <w:spacing w:val="-1"/>
          <w:sz w:val="24"/>
          <w:szCs w:val="24"/>
        </w:rPr>
        <w:t>R (MA) v. SSWP</w:t>
      </w:r>
      <w:r w:rsidRPr="00CA2C15">
        <w:rPr>
          <w:rFonts w:ascii="Calibri" w:eastAsia="Arial" w:hAnsi="Calibri" w:cs="Calibri"/>
          <w:color w:val="000000"/>
          <w:spacing w:val="-1"/>
          <w:sz w:val="24"/>
          <w:szCs w:val="24"/>
        </w:rPr>
        <w:t xml:space="preserve"> [2013] EWHC 2213) and the ‘benefit cap’ (</w:t>
      </w:r>
      <w:r w:rsidRPr="00CA2C15">
        <w:rPr>
          <w:rFonts w:ascii="Calibri" w:eastAsia="Arial" w:hAnsi="Calibri" w:cs="Calibri"/>
          <w:i/>
          <w:iCs/>
          <w:color w:val="000000"/>
          <w:spacing w:val="-1"/>
          <w:sz w:val="24"/>
          <w:szCs w:val="24"/>
        </w:rPr>
        <w:t>R (JS) v. SSWP</w:t>
      </w:r>
      <w:r w:rsidRPr="00CA2C15">
        <w:rPr>
          <w:rFonts w:ascii="Calibri" w:eastAsia="Arial" w:hAnsi="Calibri" w:cs="Calibri"/>
          <w:color w:val="000000"/>
          <w:spacing w:val="-1"/>
          <w:sz w:val="24"/>
          <w:szCs w:val="24"/>
        </w:rPr>
        <w:t xml:space="preserve"> [2013] EWHC 3350).</w:t>
      </w:r>
    </w:p>
    <w:p w14:paraId="62E08E3E" w14:textId="0F8405D5" w:rsidR="00E40295"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If </w:t>
      </w:r>
      <w:r w:rsidRPr="00CA2C15">
        <w:rPr>
          <w:rFonts w:ascii="Calibri" w:eastAsia="Arial" w:hAnsi="Calibri" w:cs="Calibri"/>
          <w:color w:val="000000"/>
          <w:sz w:val="24"/>
          <w:szCs w:val="24"/>
        </w:rPr>
        <w:t>you</w:t>
      </w:r>
      <w:r w:rsidRPr="00CA2C15">
        <w:rPr>
          <w:rFonts w:ascii="Calibri" w:eastAsia="Arial" w:hAnsi="Calibri" w:cs="Calibri"/>
          <w:color w:val="000000"/>
          <w:spacing w:val="-2"/>
          <w:sz w:val="24"/>
          <w:szCs w:val="24"/>
        </w:rPr>
        <w:t xml:space="preserve"> require a particular mode of hearing (for example </w:t>
      </w:r>
      <w:r w:rsidR="00F55949" w:rsidRPr="00CA2C15">
        <w:rPr>
          <w:rFonts w:ascii="Calibri" w:eastAsia="Arial" w:hAnsi="Calibri" w:cs="Calibri"/>
          <w:color w:val="000000"/>
          <w:spacing w:val="-2"/>
          <w:sz w:val="24"/>
          <w:szCs w:val="24"/>
        </w:rPr>
        <w:t>a video link for remote attendance</w:t>
      </w:r>
      <w:r w:rsidRPr="00CA2C15">
        <w:rPr>
          <w:rFonts w:ascii="Calibri" w:eastAsia="Arial" w:hAnsi="Calibri" w:cs="Calibri"/>
          <w:color w:val="000000"/>
          <w:spacing w:val="-2"/>
          <w:sz w:val="24"/>
          <w:szCs w:val="24"/>
        </w:rPr>
        <w:t>), then it would be advisable to seek the other parties’ agreement before making any representations to the court. An important consideration is the interests of justice.</w:t>
      </w:r>
    </w:p>
    <w:p w14:paraId="28600173" w14:textId="77777777" w:rsidR="00853003" w:rsidRPr="00CA2C15" w:rsidRDefault="00853003" w:rsidP="28F8C1D3">
      <w:pPr>
        <w:tabs>
          <w:tab w:val="left" w:pos="216"/>
          <w:tab w:val="left" w:pos="288"/>
        </w:tabs>
        <w:spacing w:after="240" w:line="360" w:lineRule="auto"/>
        <w:ind w:left="357" w:firstLine="363"/>
        <w:jc w:val="both"/>
        <w:textAlignment w:val="baseline"/>
        <w:rPr>
          <w:rFonts w:ascii="Calibri" w:eastAsia="Arial" w:hAnsi="Calibri" w:cs="Calibri"/>
          <w:b/>
          <w:bCs/>
          <w:color w:val="000000"/>
          <w:spacing w:val="-4"/>
          <w:sz w:val="24"/>
          <w:szCs w:val="24"/>
        </w:rPr>
      </w:pPr>
    </w:p>
    <w:p w14:paraId="5CB014A1" w14:textId="01AEC248"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pacing w:val="-2"/>
          <w:sz w:val="24"/>
          <w:szCs w:val="24"/>
        </w:rPr>
      </w:pPr>
      <w:r w:rsidRPr="00CA2C15">
        <w:rPr>
          <w:rFonts w:ascii="Calibri" w:eastAsia="Arial" w:hAnsi="Calibri" w:cs="Calibri"/>
          <w:b/>
          <w:bCs/>
          <w:color w:val="000000"/>
          <w:spacing w:val="-4"/>
          <w:sz w:val="24"/>
          <w:szCs w:val="24"/>
        </w:rPr>
        <w:t>In the hearing</w:t>
      </w:r>
    </w:p>
    <w:p w14:paraId="6A145B79" w14:textId="7106DBD9"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Standing can be considered again and overlaps with remedy – </w:t>
      </w:r>
      <w:r w:rsidRPr="00CA2C15">
        <w:rPr>
          <w:rFonts w:ascii="Calibri" w:eastAsia="Arial" w:hAnsi="Calibri" w:cs="Calibri"/>
          <w:i/>
          <w:iCs/>
          <w:color w:val="000000"/>
          <w:sz w:val="24"/>
          <w:szCs w:val="24"/>
        </w:rPr>
        <w:t>R v. Secretary of State for Health, ex p. Presvac Engineering Ltd.</w:t>
      </w:r>
      <w:r w:rsidRPr="00CA2C15">
        <w:rPr>
          <w:rFonts w:ascii="Calibri" w:eastAsia="Arial" w:hAnsi="Calibri" w:cs="Calibri"/>
          <w:color w:val="000000"/>
          <w:sz w:val="24"/>
          <w:szCs w:val="24"/>
        </w:rPr>
        <w:t xml:space="preserve"> </w:t>
      </w:r>
      <w:r w:rsidR="00B71222" w:rsidRPr="00CA2C15">
        <w:rPr>
          <w:rFonts w:ascii="Calibri" w:eastAsia="Arial" w:hAnsi="Calibri" w:cs="Calibri"/>
          <w:color w:val="000000"/>
          <w:sz w:val="24"/>
          <w:szCs w:val="24"/>
        </w:rPr>
        <w:t>[</w:t>
      </w:r>
      <w:r w:rsidRPr="00CA2C15">
        <w:rPr>
          <w:rFonts w:ascii="Calibri" w:eastAsia="Arial" w:hAnsi="Calibri" w:cs="Calibri"/>
          <w:color w:val="000000"/>
          <w:sz w:val="24"/>
          <w:szCs w:val="24"/>
        </w:rPr>
        <w:t>1991</w:t>
      </w:r>
      <w:r w:rsidR="00B71222"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4 Admin LR 121.</w:t>
      </w:r>
    </w:p>
    <w:p w14:paraId="2A061BE2" w14:textId="5A8702C9"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Delay – A decision at the permission stage that a claim was brought promptly, or to extend time where it was not, is final and cannot be re-opened at the final hearing. However the </w:t>
      </w:r>
      <w:r w:rsidR="00EF68F4" w:rsidRPr="00CA2C15">
        <w:rPr>
          <w:rFonts w:ascii="Calibri" w:eastAsia="Arial" w:hAnsi="Calibri" w:cs="Calibri"/>
          <w:color w:val="000000"/>
          <w:spacing w:val="-1"/>
          <w:sz w:val="24"/>
          <w:szCs w:val="24"/>
        </w:rPr>
        <w:t>d</w:t>
      </w:r>
      <w:r w:rsidRPr="00CA2C15">
        <w:rPr>
          <w:rFonts w:ascii="Calibri" w:eastAsia="Arial" w:hAnsi="Calibri" w:cs="Calibri"/>
          <w:color w:val="000000"/>
          <w:spacing w:val="-1"/>
          <w:sz w:val="24"/>
          <w:szCs w:val="24"/>
        </w:rPr>
        <w:t>efendant may still argue that relief should be refused because of undue delay (</w:t>
      </w:r>
      <w:r w:rsidRPr="00CA2C15">
        <w:rPr>
          <w:rFonts w:ascii="Calibri" w:eastAsia="Arial" w:hAnsi="Calibri" w:cs="Calibri"/>
          <w:i/>
          <w:iCs/>
          <w:color w:val="000000"/>
          <w:spacing w:val="-1"/>
          <w:sz w:val="24"/>
          <w:szCs w:val="24"/>
        </w:rPr>
        <w:t>R v. CICB, ex p. A</w:t>
      </w:r>
      <w:r w:rsidRPr="00CA2C15">
        <w:rPr>
          <w:rFonts w:ascii="Calibri" w:eastAsia="Arial" w:hAnsi="Calibri" w:cs="Calibri"/>
          <w:color w:val="000000"/>
          <w:spacing w:val="-1"/>
          <w:sz w:val="24"/>
          <w:szCs w:val="24"/>
        </w:rPr>
        <w:t xml:space="preserve"> [1999] 2 AC 330). In </w:t>
      </w:r>
      <w:r w:rsidRPr="00CA2C15">
        <w:rPr>
          <w:rFonts w:ascii="Calibri" w:eastAsia="Arial" w:hAnsi="Calibri" w:cs="Calibri"/>
          <w:i/>
          <w:iCs/>
          <w:color w:val="000000"/>
          <w:spacing w:val="-1"/>
          <w:sz w:val="24"/>
          <w:szCs w:val="24"/>
        </w:rPr>
        <w:t xml:space="preserve">R (Lichfield </w:t>
      </w:r>
      <w:r w:rsidRPr="00CA2C15">
        <w:rPr>
          <w:rFonts w:ascii="Calibri" w:eastAsia="Arial" w:hAnsi="Calibri" w:cs="Calibri"/>
          <w:i/>
          <w:iCs/>
          <w:color w:val="000000"/>
          <w:sz w:val="24"/>
          <w:szCs w:val="24"/>
        </w:rPr>
        <w:t>Securities</w:t>
      </w:r>
      <w:r w:rsidRPr="00CA2C15">
        <w:rPr>
          <w:rFonts w:ascii="Calibri" w:eastAsia="Arial" w:hAnsi="Calibri" w:cs="Calibri"/>
          <w:i/>
          <w:iCs/>
          <w:color w:val="000000"/>
          <w:spacing w:val="-1"/>
          <w:sz w:val="24"/>
          <w:szCs w:val="24"/>
        </w:rPr>
        <w:t xml:space="preserve"> Ltd.) v. Lichfield DC</w:t>
      </w:r>
      <w:r w:rsidRPr="00CA2C15">
        <w:rPr>
          <w:rFonts w:ascii="Calibri" w:eastAsia="Arial" w:hAnsi="Calibri" w:cs="Calibri"/>
          <w:color w:val="000000"/>
          <w:spacing w:val="-1"/>
          <w:sz w:val="24"/>
          <w:szCs w:val="24"/>
        </w:rPr>
        <w:t xml:space="preserve"> [2001] EWCA Civ 304 the Court of Appeal held that where the effect of undue delay had been fully argued at the permission hearing then the decision on that issue should be re-opened only where (a) the judge at the initial hearing had expressly so indicated; (b) new and relevant material was introduced at the substantive hearing; (c) in an exceptional case, the issues as they developed at the full hearing put a different aspect on the question of promptness; or (d) the first judge had plainly overlooked some relevant matter or had otherwise reached a decision per incuriam.</w:t>
      </w:r>
    </w:p>
    <w:p w14:paraId="4768684B" w14:textId="0882BB42"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2"/>
          <w:sz w:val="24"/>
          <w:szCs w:val="24"/>
        </w:rPr>
      </w:pPr>
      <w:r w:rsidRPr="00CA2C15">
        <w:rPr>
          <w:rFonts w:ascii="Calibri" w:eastAsia="Arial" w:hAnsi="Calibri" w:cs="Calibri"/>
          <w:color w:val="000000"/>
          <w:spacing w:val="-2"/>
          <w:sz w:val="24"/>
          <w:szCs w:val="24"/>
        </w:rPr>
        <w:t xml:space="preserve">Where limited permission was given: CPR 54.15 permits a </w:t>
      </w:r>
      <w:r w:rsidR="00EF68F4" w:rsidRPr="00CA2C15">
        <w:rPr>
          <w:rFonts w:ascii="Calibri" w:eastAsia="Arial" w:hAnsi="Calibri" w:cs="Calibri"/>
          <w:color w:val="000000"/>
          <w:spacing w:val="-2"/>
          <w:sz w:val="24"/>
          <w:szCs w:val="24"/>
        </w:rPr>
        <w:t>c</w:t>
      </w:r>
      <w:r w:rsidRPr="00CA2C15">
        <w:rPr>
          <w:rFonts w:ascii="Calibri" w:eastAsia="Arial" w:hAnsi="Calibri" w:cs="Calibri"/>
          <w:color w:val="000000"/>
          <w:spacing w:val="-2"/>
          <w:sz w:val="24"/>
          <w:szCs w:val="24"/>
        </w:rPr>
        <w:t xml:space="preserve">laimant to give notice that they </w:t>
      </w:r>
      <w:r w:rsidRPr="00CA2C15">
        <w:rPr>
          <w:rFonts w:ascii="Calibri" w:eastAsia="Times New Roman" w:hAnsi="Calibri" w:cs="Calibri"/>
          <w:sz w:val="24"/>
          <w:szCs w:val="20"/>
          <w:lang w:val="en-GB"/>
        </w:rPr>
        <w:t>intend</w:t>
      </w:r>
      <w:r w:rsidRPr="00CA2C15">
        <w:rPr>
          <w:rFonts w:ascii="Calibri" w:eastAsia="Arial" w:hAnsi="Calibri" w:cs="Calibri"/>
          <w:color w:val="000000"/>
          <w:spacing w:val="-2"/>
          <w:sz w:val="24"/>
          <w:szCs w:val="24"/>
        </w:rPr>
        <w:t xml:space="preserve"> to rely on grounds in their original N461 for which they were </w:t>
      </w:r>
      <w:r w:rsidRPr="00CA2C15">
        <w:rPr>
          <w:rFonts w:ascii="Calibri" w:eastAsia="Arial" w:hAnsi="Calibri" w:cs="Calibri"/>
          <w:color w:val="000000"/>
          <w:spacing w:val="-1"/>
          <w:sz w:val="24"/>
          <w:szCs w:val="24"/>
        </w:rPr>
        <w:t>not</w:t>
      </w:r>
      <w:r w:rsidRPr="00CA2C15">
        <w:rPr>
          <w:rFonts w:ascii="Calibri" w:eastAsia="Arial" w:hAnsi="Calibri" w:cs="Calibri"/>
          <w:color w:val="000000"/>
          <w:spacing w:val="-2"/>
          <w:sz w:val="24"/>
          <w:szCs w:val="24"/>
        </w:rPr>
        <w:t xml:space="preserve"> granted or refused permission. However, this </w:t>
      </w:r>
      <w:r w:rsidRPr="00CA2C15">
        <w:rPr>
          <w:rFonts w:ascii="Calibri" w:eastAsia="Arial" w:hAnsi="Calibri" w:cs="Calibri"/>
          <w:color w:val="000000"/>
          <w:sz w:val="24"/>
          <w:szCs w:val="24"/>
        </w:rPr>
        <w:t>may</w:t>
      </w:r>
      <w:r w:rsidRPr="00CA2C15">
        <w:rPr>
          <w:rFonts w:ascii="Calibri" w:eastAsia="Arial" w:hAnsi="Calibri" w:cs="Calibri"/>
          <w:color w:val="000000"/>
          <w:spacing w:val="-2"/>
          <w:sz w:val="24"/>
          <w:szCs w:val="24"/>
        </w:rPr>
        <w:t xml:space="preserve"> be an abuse of process in the absence of significant justification</w:t>
      </w:r>
      <w:r w:rsidR="00341430" w:rsidRPr="00CA2C15">
        <w:rPr>
          <w:rFonts w:ascii="Calibri" w:eastAsia="Arial" w:hAnsi="Calibri" w:cs="Calibri"/>
          <w:color w:val="000000"/>
          <w:spacing w:val="-2"/>
          <w:sz w:val="24"/>
          <w:szCs w:val="24"/>
        </w:rPr>
        <w:t xml:space="preserve"> </w:t>
      </w:r>
      <w:r w:rsidRPr="00CA2C15">
        <w:rPr>
          <w:rFonts w:ascii="Calibri" w:eastAsia="Arial" w:hAnsi="Calibri" w:cs="Calibri"/>
          <w:color w:val="000000"/>
          <w:spacing w:val="-2"/>
          <w:sz w:val="24"/>
          <w:szCs w:val="24"/>
        </w:rPr>
        <w:t xml:space="preserve">– </w:t>
      </w:r>
      <w:r w:rsidRPr="00CA2C15">
        <w:rPr>
          <w:rFonts w:ascii="Calibri" w:eastAsia="Arial" w:hAnsi="Calibri" w:cs="Calibri"/>
          <w:i/>
          <w:iCs/>
          <w:color w:val="000000"/>
          <w:spacing w:val="-2"/>
          <w:sz w:val="24"/>
          <w:szCs w:val="24"/>
        </w:rPr>
        <w:t>R (Opoku) v. Principal of Southwark College</w:t>
      </w:r>
      <w:r w:rsidRPr="00CA2C15">
        <w:rPr>
          <w:rFonts w:ascii="Calibri" w:eastAsia="Arial" w:hAnsi="Calibri" w:cs="Calibri"/>
          <w:color w:val="000000"/>
          <w:spacing w:val="-2"/>
          <w:sz w:val="24"/>
          <w:szCs w:val="24"/>
        </w:rPr>
        <w:t xml:space="preserve"> [2002] EWHC (Admin) 272, and </w:t>
      </w:r>
      <w:r w:rsidRPr="00CA2C15">
        <w:rPr>
          <w:rFonts w:ascii="Calibri" w:eastAsia="Arial" w:hAnsi="Calibri" w:cs="Calibri"/>
          <w:i/>
          <w:iCs/>
          <w:color w:val="000000"/>
          <w:spacing w:val="-2"/>
          <w:sz w:val="24"/>
          <w:szCs w:val="24"/>
        </w:rPr>
        <w:t xml:space="preserve">R (Smith) v. Parole Board </w:t>
      </w:r>
      <w:r w:rsidRPr="00CA2C15">
        <w:rPr>
          <w:rFonts w:ascii="Calibri" w:eastAsia="Arial" w:hAnsi="Calibri" w:cs="Calibri"/>
          <w:color w:val="000000"/>
          <w:spacing w:val="-2"/>
          <w:sz w:val="24"/>
          <w:szCs w:val="24"/>
        </w:rPr>
        <w:t>[2003] EWCA Civ 1014.</w:t>
      </w:r>
    </w:p>
    <w:p w14:paraId="3FBD83F3" w14:textId="1A567C1D" w:rsidR="00341430"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pacing w:val="-1"/>
          <w:sz w:val="24"/>
          <w:szCs w:val="24"/>
        </w:rPr>
        <w:t>Where</w:t>
      </w:r>
      <w:r w:rsidRPr="00CA2C15">
        <w:rPr>
          <w:rFonts w:ascii="Calibri" w:eastAsia="Arial" w:hAnsi="Calibri" w:cs="Calibri"/>
          <w:color w:val="000000"/>
          <w:sz w:val="24"/>
          <w:szCs w:val="24"/>
        </w:rPr>
        <w:t xml:space="preserve"> there </w:t>
      </w:r>
      <w:r w:rsidRPr="00CA2C15">
        <w:rPr>
          <w:rFonts w:ascii="Calibri" w:eastAsia="Times New Roman" w:hAnsi="Calibri" w:cs="Calibri"/>
          <w:sz w:val="24"/>
          <w:szCs w:val="20"/>
          <w:lang w:val="en-GB"/>
        </w:rPr>
        <w:t>has</w:t>
      </w:r>
      <w:r w:rsidRPr="00CA2C15">
        <w:rPr>
          <w:rFonts w:ascii="Calibri" w:eastAsia="Arial" w:hAnsi="Calibri" w:cs="Calibri"/>
          <w:color w:val="000000"/>
          <w:sz w:val="24"/>
          <w:szCs w:val="24"/>
        </w:rPr>
        <w:t xml:space="preserve"> been a material non-disclosure by the </w:t>
      </w:r>
      <w:r w:rsidR="00135E57" w:rsidRPr="00CA2C15">
        <w:rPr>
          <w:rFonts w:ascii="Calibri" w:eastAsia="Arial" w:hAnsi="Calibri" w:cs="Calibri"/>
          <w:color w:val="000000"/>
          <w:sz w:val="24"/>
          <w:szCs w:val="24"/>
        </w:rPr>
        <w:t>c</w:t>
      </w:r>
      <w:r w:rsidRPr="00CA2C15">
        <w:rPr>
          <w:rFonts w:ascii="Calibri" w:eastAsia="Arial" w:hAnsi="Calibri" w:cs="Calibri"/>
          <w:color w:val="000000"/>
          <w:sz w:val="24"/>
          <w:szCs w:val="24"/>
        </w:rPr>
        <w:t>laimant, relief may be refused at the full hearing (or before) without consideration of the merits.</w:t>
      </w:r>
    </w:p>
    <w:p w14:paraId="46D63FD1" w14:textId="01E76290"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pacing w:val="-9"/>
          <w:sz w:val="24"/>
          <w:szCs w:val="24"/>
        </w:rPr>
        <w:t>Orders</w:t>
      </w:r>
    </w:p>
    <w:p w14:paraId="529D5A88" w14:textId="3E03553E"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pacing w:val="-1"/>
          <w:sz w:val="24"/>
          <w:szCs w:val="24"/>
        </w:rPr>
      </w:pPr>
      <w:r w:rsidRPr="00CA2C15">
        <w:rPr>
          <w:rFonts w:ascii="Calibri" w:eastAsia="Arial" w:hAnsi="Calibri" w:cs="Calibri"/>
          <w:color w:val="000000"/>
          <w:spacing w:val="-1"/>
          <w:sz w:val="24"/>
          <w:szCs w:val="24"/>
        </w:rPr>
        <w:t xml:space="preserve">Time estimates assume that judgment will be given at the hearing. If so, then it will be transcribed but counsel must still make a note (in particular for use in the case of an </w:t>
      </w:r>
      <w:r w:rsidRPr="00CA2C15">
        <w:rPr>
          <w:rFonts w:ascii="Calibri" w:eastAsia="Times New Roman" w:hAnsi="Calibri" w:cs="Calibri"/>
          <w:sz w:val="24"/>
          <w:szCs w:val="20"/>
          <w:lang w:val="en-GB"/>
        </w:rPr>
        <w:t>urgent</w:t>
      </w:r>
      <w:r w:rsidRPr="00CA2C15">
        <w:rPr>
          <w:rFonts w:ascii="Calibri" w:eastAsia="Arial" w:hAnsi="Calibri" w:cs="Calibri"/>
          <w:color w:val="000000"/>
          <w:spacing w:val="-1"/>
          <w:sz w:val="24"/>
          <w:szCs w:val="24"/>
        </w:rPr>
        <w:t xml:space="preserve"> appeal). In the vast majority of judicial reviews, judgment is not given immediately at the conclusion of the hearing, but is reserved.</w:t>
      </w:r>
    </w:p>
    <w:p w14:paraId="79A6F961" w14:textId="03F3996A"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Usually a confidential draft judgment will be prepared in advance of handing down, with a </w:t>
      </w:r>
      <w:r w:rsidRPr="00CA2C15">
        <w:rPr>
          <w:rFonts w:ascii="Calibri" w:eastAsia="Times New Roman" w:hAnsi="Calibri" w:cs="Calibri"/>
          <w:sz w:val="24"/>
          <w:szCs w:val="20"/>
          <w:lang w:val="en-GB"/>
        </w:rPr>
        <w:t>direction</w:t>
      </w:r>
      <w:r w:rsidRPr="00CA2C15">
        <w:rPr>
          <w:rFonts w:ascii="Calibri" w:eastAsia="Arial" w:hAnsi="Calibri" w:cs="Calibri"/>
          <w:color w:val="000000"/>
          <w:sz w:val="24"/>
          <w:szCs w:val="24"/>
        </w:rPr>
        <w:t xml:space="preserve"> for the parties to submit typing corrections and notes of other </w:t>
      </w:r>
      <w:r w:rsidRPr="00CA2C15">
        <w:rPr>
          <w:rFonts w:ascii="Calibri" w:eastAsia="Arial" w:hAnsi="Calibri" w:cs="Calibri"/>
          <w:color w:val="000000"/>
          <w:spacing w:val="-1"/>
          <w:sz w:val="24"/>
          <w:szCs w:val="24"/>
        </w:rPr>
        <w:t>obvious</w:t>
      </w:r>
      <w:r w:rsidRPr="00CA2C15">
        <w:rPr>
          <w:rFonts w:ascii="Calibri" w:eastAsia="Arial" w:hAnsi="Calibri" w:cs="Calibri"/>
          <w:color w:val="000000"/>
          <w:sz w:val="24"/>
          <w:szCs w:val="24"/>
        </w:rPr>
        <w:t xml:space="preserve"> errors. The court is not bound by the draft decision circulated and in exceptional cases the court can be invited to alter it </w:t>
      </w:r>
      <w:r w:rsidR="00341430" w:rsidRPr="00CA2C15">
        <w:rPr>
          <w:rFonts w:ascii="Calibri" w:eastAsia="Arial" w:hAnsi="Calibri" w:cs="Calibri"/>
          <w:color w:val="000000"/>
          <w:sz w:val="24"/>
          <w:szCs w:val="24"/>
        </w:rPr>
        <w:t>-</w:t>
      </w:r>
      <w:r w:rsidRPr="00CA2C15">
        <w:rPr>
          <w:rFonts w:ascii="Calibri" w:eastAsia="Arial" w:hAnsi="Calibri" w:cs="Calibri"/>
          <w:color w:val="000000"/>
          <w:sz w:val="24"/>
          <w:szCs w:val="24"/>
        </w:rPr>
        <w:t xml:space="preserve"> </w:t>
      </w:r>
      <w:r w:rsidRPr="00CA2C15">
        <w:rPr>
          <w:rFonts w:ascii="Calibri" w:eastAsia="Arial" w:hAnsi="Calibri" w:cs="Calibri"/>
          <w:i/>
          <w:iCs/>
          <w:color w:val="000000"/>
          <w:sz w:val="24"/>
          <w:szCs w:val="24"/>
        </w:rPr>
        <w:t>R (Mohamed) v. Secretary of State for Foreign and Commonwealth Affairs (No 2)</w:t>
      </w:r>
      <w:r w:rsidRPr="00CA2C15">
        <w:rPr>
          <w:rFonts w:ascii="Calibri" w:eastAsia="Arial" w:hAnsi="Calibri" w:cs="Calibri"/>
          <w:color w:val="000000"/>
          <w:sz w:val="24"/>
          <w:szCs w:val="24"/>
        </w:rPr>
        <w:t xml:space="preserve"> [2011] QB 218.</w:t>
      </w:r>
      <w:r w:rsidR="00562365" w:rsidRPr="00CA2C15">
        <w:rPr>
          <w:rFonts w:ascii="Calibri" w:eastAsia="Arial" w:hAnsi="Calibri" w:cs="Calibri"/>
          <w:color w:val="000000"/>
          <w:sz w:val="24"/>
          <w:szCs w:val="24"/>
        </w:rPr>
        <w:t xml:space="preserve"> Draft judgments are subject to </w:t>
      </w:r>
      <w:r w:rsidR="00E83EA4" w:rsidRPr="00CA2C15">
        <w:rPr>
          <w:rFonts w:ascii="Calibri" w:eastAsia="Arial" w:hAnsi="Calibri" w:cs="Calibri"/>
          <w:color w:val="000000"/>
          <w:sz w:val="24"/>
          <w:szCs w:val="24"/>
        </w:rPr>
        <w:t xml:space="preserve">a strict embargo which means only the parties and legal teams involved in a case </w:t>
      </w:r>
      <w:r w:rsidR="00E42F2F" w:rsidRPr="00CA2C15">
        <w:rPr>
          <w:rFonts w:ascii="Calibri" w:eastAsia="Arial" w:hAnsi="Calibri" w:cs="Calibri"/>
          <w:color w:val="000000"/>
          <w:sz w:val="24"/>
          <w:szCs w:val="24"/>
        </w:rPr>
        <w:t>can be made aware of the draft judgment.</w:t>
      </w:r>
    </w:p>
    <w:p w14:paraId="15BA069C" w14:textId="7E0D9C1B"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pacing w:val="-1"/>
          <w:sz w:val="24"/>
          <w:szCs w:val="24"/>
        </w:rPr>
        <w:t>Counsel</w:t>
      </w:r>
      <w:r w:rsidRPr="00CA2C15">
        <w:rPr>
          <w:rFonts w:ascii="Calibri" w:eastAsia="Arial" w:hAnsi="Calibri" w:cs="Calibri"/>
          <w:color w:val="000000"/>
          <w:sz w:val="24"/>
          <w:szCs w:val="24"/>
        </w:rPr>
        <w:t xml:space="preserve"> will usually be asked to agree a draft minute of </w:t>
      </w:r>
      <w:r w:rsidR="00E42F2F" w:rsidRPr="00CA2C15">
        <w:rPr>
          <w:rFonts w:ascii="Calibri" w:eastAsia="Arial" w:hAnsi="Calibri" w:cs="Calibri"/>
          <w:color w:val="000000"/>
          <w:sz w:val="24"/>
          <w:szCs w:val="24"/>
        </w:rPr>
        <w:t>o</w:t>
      </w:r>
      <w:r w:rsidRPr="00CA2C15">
        <w:rPr>
          <w:rFonts w:ascii="Calibri" w:eastAsia="Arial" w:hAnsi="Calibri" w:cs="Calibri"/>
          <w:color w:val="000000"/>
          <w:sz w:val="24"/>
          <w:szCs w:val="24"/>
        </w:rPr>
        <w:t>rder to be lodged with the Court.</w:t>
      </w:r>
    </w:p>
    <w:p w14:paraId="1C9C58A1" w14:textId="1466A1E1"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w:t>
      </w:r>
      <w:r w:rsidRPr="00CA2C15">
        <w:rPr>
          <w:rFonts w:ascii="Calibri" w:eastAsia="Arial" w:hAnsi="Calibri" w:cs="Calibri"/>
          <w:color w:val="000000"/>
          <w:spacing w:val="-1"/>
          <w:sz w:val="24"/>
          <w:szCs w:val="24"/>
        </w:rPr>
        <w:t>parties</w:t>
      </w:r>
      <w:r w:rsidRPr="00CA2C15">
        <w:rPr>
          <w:rFonts w:ascii="Calibri" w:eastAsia="Arial" w:hAnsi="Calibri" w:cs="Calibri"/>
          <w:color w:val="000000"/>
          <w:sz w:val="24"/>
          <w:szCs w:val="24"/>
        </w:rPr>
        <w:t xml:space="preserve"> need not attend for handing down of judgment if all consequential orders </w:t>
      </w:r>
      <w:r w:rsidRPr="00CA2C15">
        <w:rPr>
          <w:rFonts w:ascii="Calibri" w:eastAsia="Times New Roman" w:hAnsi="Calibri" w:cs="Calibri"/>
          <w:sz w:val="24"/>
          <w:szCs w:val="20"/>
          <w:lang w:val="en-GB"/>
        </w:rPr>
        <w:t>have</w:t>
      </w:r>
      <w:r w:rsidRPr="00CA2C15">
        <w:rPr>
          <w:rFonts w:ascii="Calibri" w:eastAsia="Arial" w:hAnsi="Calibri" w:cs="Calibri"/>
          <w:color w:val="000000"/>
          <w:sz w:val="24"/>
          <w:szCs w:val="24"/>
        </w:rPr>
        <w:t xml:space="preserve"> been agreed and may not be able to recover costs if they attend when this is unnecessary.</w:t>
      </w:r>
    </w:p>
    <w:p w14:paraId="3500D6AE" w14:textId="4B28A3C7"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Once </w:t>
      </w:r>
      <w:r w:rsidRPr="00CA2C15">
        <w:rPr>
          <w:rFonts w:ascii="Calibri" w:eastAsia="Arial" w:hAnsi="Calibri" w:cs="Calibri"/>
          <w:color w:val="000000"/>
          <w:spacing w:val="-1"/>
          <w:sz w:val="24"/>
          <w:szCs w:val="24"/>
        </w:rPr>
        <w:t>sealed</w:t>
      </w:r>
      <w:r w:rsidRPr="00CA2C15">
        <w:rPr>
          <w:rFonts w:ascii="Calibri" w:eastAsia="Arial" w:hAnsi="Calibri" w:cs="Calibri"/>
          <w:color w:val="000000"/>
          <w:sz w:val="24"/>
          <w:szCs w:val="24"/>
        </w:rPr>
        <w:t xml:space="preserve">, the </w:t>
      </w:r>
      <w:r w:rsidR="00E42F2F" w:rsidRPr="00CA2C15">
        <w:rPr>
          <w:rFonts w:ascii="Calibri" w:eastAsia="Arial" w:hAnsi="Calibri" w:cs="Calibri"/>
          <w:color w:val="000000"/>
          <w:sz w:val="24"/>
          <w:szCs w:val="24"/>
        </w:rPr>
        <w:t>o</w:t>
      </w:r>
      <w:r w:rsidRPr="00CA2C15">
        <w:rPr>
          <w:rFonts w:ascii="Calibri" w:eastAsia="Arial" w:hAnsi="Calibri" w:cs="Calibri"/>
          <w:color w:val="000000"/>
          <w:sz w:val="24"/>
          <w:szCs w:val="24"/>
        </w:rPr>
        <w:t xml:space="preserve">rder of the </w:t>
      </w:r>
      <w:r w:rsidR="00E42F2F" w:rsidRPr="00CA2C15">
        <w:rPr>
          <w:rFonts w:ascii="Calibri" w:eastAsia="Arial" w:hAnsi="Calibri" w:cs="Calibri"/>
          <w:color w:val="000000"/>
          <w:sz w:val="24"/>
          <w:szCs w:val="24"/>
        </w:rPr>
        <w:t>c</w:t>
      </w:r>
      <w:r w:rsidRPr="00CA2C15">
        <w:rPr>
          <w:rFonts w:ascii="Calibri" w:eastAsia="Arial" w:hAnsi="Calibri" w:cs="Calibri"/>
          <w:color w:val="000000"/>
          <w:sz w:val="24"/>
          <w:szCs w:val="24"/>
        </w:rPr>
        <w:t>ourt is final, subject to correction under the slip rule (CPR 40.12).</w:t>
      </w:r>
    </w:p>
    <w:p w14:paraId="51B34B4C" w14:textId="77777777" w:rsidR="00103E83" w:rsidRPr="00CA2C15" w:rsidRDefault="00B935ED" w:rsidP="00DB1BB5">
      <w:pPr>
        <w:spacing w:after="240" w:line="360" w:lineRule="auto"/>
        <w:ind w:firstLine="720"/>
        <w:textAlignment w:val="baseline"/>
        <w:rPr>
          <w:rFonts w:ascii="Calibri" w:eastAsia="Arial" w:hAnsi="Calibri" w:cs="Calibri"/>
          <w:b/>
          <w:color w:val="000000"/>
          <w:spacing w:val="-5"/>
          <w:sz w:val="24"/>
          <w:szCs w:val="24"/>
          <w:u w:val="single"/>
        </w:rPr>
      </w:pPr>
      <w:r w:rsidRPr="00CA2C15">
        <w:rPr>
          <w:rFonts w:ascii="Calibri" w:eastAsia="Arial" w:hAnsi="Calibri" w:cs="Calibri"/>
          <w:b/>
          <w:color w:val="000000"/>
          <w:spacing w:val="-2"/>
          <w:sz w:val="24"/>
          <w:szCs w:val="24"/>
          <w:u w:val="single"/>
        </w:rPr>
        <w:t>APPEALS</w:t>
      </w:r>
    </w:p>
    <w:p w14:paraId="23A8332D" w14:textId="5D8EFE01" w:rsidR="00B935ED" w:rsidRPr="00CA2C15" w:rsidRDefault="00B935ED" w:rsidP="00DB1BB5">
      <w:pPr>
        <w:spacing w:after="240" w:line="360" w:lineRule="auto"/>
        <w:ind w:firstLine="720"/>
        <w:textAlignment w:val="baseline"/>
        <w:rPr>
          <w:rFonts w:ascii="Calibri" w:eastAsia="Arial" w:hAnsi="Calibri" w:cs="Calibri"/>
          <w:b/>
          <w:color w:val="000000"/>
          <w:spacing w:val="-5"/>
          <w:sz w:val="24"/>
          <w:szCs w:val="24"/>
          <w:u w:val="single"/>
        </w:rPr>
      </w:pPr>
      <w:r w:rsidRPr="00CA2C15">
        <w:rPr>
          <w:rFonts w:ascii="Calibri" w:eastAsia="Arial" w:hAnsi="Calibri" w:cs="Calibri"/>
          <w:b/>
          <w:color w:val="000000"/>
          <w:spacing w:val="-1"/>
          <w:sz w:val="24"/>
          <w:szCs w:val="24"/>
        </w:rPr>
        <w:t>Civil cases</w:t>
      </w:r>
    </w:p>
    <w:p w14:paraId="4B054B14" w14:textId="093C344D" w:rsidR="00727C4B" w:rsidRPr="00CA2C15" w:rsidRDefault="00B935ED" w:rsidP="00727C4B">
      <w:pPr>
        <w:numPr>
          <w:ilvl w:val="0"/>
          <w:numId w:val="4"/>
        </w:numPr>
        <w:tabs>
          <w:tab w:val="num" w:pos="717"/>
        </w:tabs>
        <w:spacing w:after="240" w:line="360" w:lineRule="auto"/>
        <w:ind w:left="720" w:hanging="720"/>
        <w:jc w:val="both"/>
        <w:rPr>
          <w:rFonts w:ascii="Calibri" w:eastAsia="Arial" w:hAnsi="Calibri" w:cs="Calibri"/>
          <w:color w:val="000000"/>
          <w:lang w:val="en-GB"/>
        </w:rPr>
      </w:pPr>
      <w:r w:rsidRPr="00CA2C15">
        <w:rPr>
          <w:rFonts w:ascii="Calibri" w:eastAsia="Arial" w:hAnsi="Calibri" w:cs="Calibri"/>
          <w:color w:val="000000"/>
          <w:sz w:val="24"/>
          <w:szCs w:val="24"/>
        </w:rPr>
        <w:t>In a civil case an appeal lies to the Court of Appeal, with permission of either the Administrative Court or the Court of Appeal. It is not necessary to seek permission from the lower court but it is usual to do so. Under CPR 52.6</w:t>
      </w:r>
      <w:r w:rsidR="00FC2326" w:rsidRPr="00CA2C15">
        <w:rPr>
          <w:rFonts w:ascii="Calibri" w:eastAsia="Arial" w:hAnsi="Calibri" w:cs="Calibri"/>
          <w:color w:val="000000"/>
          <w:sz w:val="24"/>
          <w:szCs w:val="24"/>
        </w:rPr>
        <w:t xml:space="preserve"> </w:t>
      </w:r>
      <w:r w:rsidRPr="00CA2C15">
        <w:rPr>
          <w:rFonts w:ascii="Calibri" w:eastAsia="Arial" w:hAnsi="Calibri" w:cs="Calibri"/>
          <w:color w:val="000000"/>
          <w:sz w:val="24"/>
          <w:szCs w:val="24"/>
        </w:rPr>
        <w:t xml:space="preserve">(1), </w:t>
      </w:r>
    </w:p>
    <w:p w14:paraId="3174F068" w14:textId="5604E9CE" w:rsidR="00727C4B" w:rsidRPr="00CA2C15" w:rsidRDefault="00727C4B" w:rsidP="0069563A">
      <w:pPr>
        <w:spacing w:after="240" w:line="360" w:lineRule="auto"/>
        <w:ind w:left="720"/>
        <w:jc w:val="both"/>
        <w:rPr>
          <w:rFonts w:ascii="Calibri" w:eastAsia="Arial" w:hAnsi="Calibri" w:cs="Calibri"/>
          <w:color w:val="000000"/>
          <w:lang w:val="en-GB"/>
        </w:rPr>
      </w:pPr>
      <w:r w:rsidRPr="00CA2C15">
        <w:rPr>
          <w:rFonts w:ascii="Calibri" w:eastAsia="Arial" w:hAnsi="Calibri" w:cs="Calibri"/>
          <w:color w:val="000000"/>
          <w:sz w:val="24"/>
          <w:szCs w:val="24"/>
          <w:lang w:val="en-GB"/>
        </w:rPr>
        <w:t>(1)</w:t>
      </w:r>
      <w:r w:rsidRPr="00CA2C15">
        <w:rPr>
          <w:rFonts w:ascii="Calibri" w:eastAsia="Arial" w:hAnsi="Calibri" w:cs="Calibri"/>
          <w:color w:val="000000"/>
          <w:lang w:val="en-GB"/>
        </w:rPr>
        <w:tab/>
        <w:t>permission to appeal may be given only where—</w:t>
      </w:r>
    </w:p>
    <w:p w14:paraId="6E379C2C" w14:textId="77777777" w:rsidR="00727C4B" w:rsidRPr="00CA2C15" w:rsidRDefault="00727C4B" w:rsidP="0069563A">
      <w:pPr>
        <w:spacing w:after="240" w:line="360" w:lineRule="auto"/>
        <w:ind w:left="1440"/>
        <w:jc w:val="both"/>
        <w:rPr>
          <w:rFonts w:ascii="Calibri" w:eastAsia="Arial" w:hAnsi="Calibri" w:cs="Calibri"/>
          <w:color w:val="000000"/>
          <w:lang w:val="en-GB"/>
        </w:rPr>
      </w:pPr>
      <w:r w:rsidRPr="00CA2C15">
        <w:rPr>
          <w:rFonts w:ascii="Calibri" w:eastAsia="Arial" w:hAnsi="Calibri" w:cs="Calibri"/>
          <w:color w:val="000000"/>
          <w:lang w:val="en-GB"/>
        </w:rPr>
        <w:t>(a) the court considers that the appeal would have a real prospect of success; or</w:t>
      </w:r>
    </w:p>
    <w:p w14:paraId="666F2E61" w14:textId="77777777" w:rsidR="00727C4B" w:rsidRPr="00CA2C15" w:rsidRDefault="00727C4B" w:rsidP="0069563A">
      <w:pPr>
        <w:spacing w:after="240" w:line="360" w:lineRule="auto"/>
        <w:ind w:left="1440"/>
        <w:jc w:val="both"/>
        <w:rPr>
          <w:rFonts w:ascii="Calibri" w:eastAsia="Arial" w:hAnsi="Calibri" w:cs="Calibri"/>
          <w:color w:val="000000"/>
          <w:lang w:val="en-GB"/>
        </w:rPr>
      </w:pPr>
      <w:r w:rsidRPr="00CA2C15">
        <w:rPr>
          <w:rFonts w:ascii="Calibri" w:eastAsia="Arial" w:hAnsi="Calibri" w:cs="Calibri"/>
          <w:color w:val="000000"/>
          <w:lang w:val="en-GB"/>
        </w:rPr>
        <w:t>(b) there is some other compelling reason for the appeal to be heard.</w:t>
      </w:r>
    </w:p>
    <w:p w14:paraId="4EE38C4B" w14:textId="37A26FC7" w:rsidR="00B935ED" w:rsidRPr="00CA2C15" w:rsidRDefault="00B935ED" w:rsidP="00727C4B">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This can </w:t>
      </w:r>
      <w:r w:rsidRPr="00CA2C15">
        <w:rPr>
          <w:rFonts w:ascii="Calibri" w:eastAsia="Times New Roman" w:hAnsi="Calibri" w:cs="Calibri"/>
          <w:sz w:val="24"/>
          <w:szCs w:val="20"/>
          <w:lang w:val="en-GB"/>
        </w:rPr>
        <w:t>lead</w:t>
      </w:r>
      <w:r w:rsidRPr="00CA2C15">
        <w:rPr>
          <w:rFonts w:ascii="Calibri" w:eastAsia="Arial" w:hAnsi="Calibri" w:cs="Calibri"/>
          <w:color w:val="000000"/>
          <w:sz w:val="24"/>
          <w:szCs w:val="24"/>
        </w:rPr>
        <w:t xml:space="preserve"> to an appeal on a point of public importance even if the prospects of success are poor – </w:t>
      </w:r>
      <w:r w:rsidRPr="00CA2C15">
        <w:rPr>
          <w:rFonts w:ascii="Calibri" w:eastAsia="Arial" w:hAnsi="Calibri" w:cs="Calibri"/>
          <w:i/>
          <w:iCs/>
          <w:color w:val="000000"/>
          <w:sz w:val="24"/>
          <w:szCs w:val="24"/>
        </w:rPr>
        <w:t>R (Benabdelaziz) v. Haringey LBC</w:t>
      </w:r>
      <w:r w:rsidRPr="00CA2C15">
        <w:rPr>
          <w:rFonts w:ascii="Calibri" w:eastAsia="Arial" w:hAnsi="Calibri" w:cs="Calibri"/>
          <w:color w:val="000000"/>
          <w:sz w:val="24"/>
          <w:szCs w:val="24"/>
        </w:rPr>
        <w:t xml:space="preserve"> [2001] EWCA Civ 803, para. 1.</w:t>
      </w:r>
    </w:p>
    <w:p w14:paraId="0A89F975" w14:textId="65685956"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 application to the Administrative Court for permission to appeal is usually made </w:t>
      </w:r>
      <w:r w:rsidRPr="00CA2C15">
        <w:rPr>
          <w:rFonts w:ascii="Calibri" w:eastAsia="Arial" w:hAnsi="Calibri" w:cs="Calibri"/>
          <w:color w:val="000000"/>
          <w:spacing w:val="-2"/>
          <w:sz w:val="24"/>
          <w:szCs w:val="24"/>
        </w:rPr>
        <w:t>when</w:t>
      </w:r>
      <w:r w:rsidRPr="00CA2C15">
        <w:rPr>
          <w:rFonts w:ascii="Calibri" w:eastAsia="Arial" w:hAnsi="Calibri" w:cs="Calibri"/>
          <w:color w:val="000000"/>
          <w:sz w:val="24"/>
          <w:szCs w:val="24"/>
        </w:rPr>
        <w:t xml:space="preserve"> judgment is handed down. If time permits then it should be accompanied by draft grounds of appeal. An application for permission to the Court of Appeal is contained in the Notice of Appeal (N161) itself and must be accompanied by grounds and a skeleton argument in support.</w:t>
      </w:r>
    </w:p>
    <w:p w14:paraId="6A33B9AB" w14:textId="13543156"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Appellant has 21 days to appeal but this time limit can be extended by the </w:t>
      </w:r>
      <w:r w:rsidRPr="00CA2C15">
        <w:rPr>
          <w:rFonts w:ascii="Calibri" w:eastAsia="Times New Roman" w:hAnsi="Calibri" w:cs="Calibri"/>
          <w:sz w:val="24"/>
          <w:szCs w:val="20"/>
          <w:lang w:val="en-GB"/>
        </w:rPr>
        <w:t>Administrative</w:t>
      </w:r>
      <w:r w:rsidRPr="00CA2C15">
        <w:rPr>
          <w:rFonts w:ascii="Calibri" w:eastAsia="Arial" w:hAnsi="Calibri" w:cs="Calibri"/>
          <w:color w:val="000000"/>
          <w:sz w:val="24"/>
          <w:szCs w:val="24"/>
        </w:rPr>
        <w:t xml:space="preserve"> Court whether or not it actually grants permission provided the </w:t>
      </w:r>
      <w:r w:rsidRPr="00CA2C15">
        <w:rPr>
          <w:rFonts w:ascii="Calibri" w:eastAsia="Arial" w:hAnsi="Calibri" w:cs="Calibri"/>
          <w:color w:val="000000"/>
          <w:spacing w:val="-2"/>
          <w:sz w:val="24"/>
          <w:szCs w:val="24"/>
        </w:rPr>
        <w:t>application</w:t>
      </w:r>
      <w:r w:rsidRPr="00CA2C15">
        <w:rPr>
          <w:rFonts w:ascii="Calibri" w:eastAsia="Arial" w:hAnsi="Calibri" w:cs="Calibri"/>
          <w:color w:val="000000"/>
          <w:sz w:val="24"/>
          <w:szCs w:val="24"/>
        </w:rPr>
        <w:t xml:space="preserve"> is made within the 21-day period. Any application for an extension outside that period must be made to the Court of Appeal. Time for </w:t>
      </w:r>
      <w:r w:rsidRPr="00CA2C15">
        <w:rPr>
          <w:rFonts w:ascii="Calibri" w:eastAsia="Arial" w:hAnsi="Calibri" w:cs="Calibri"/>
          <w:color w:val="000000"/>
          <w:spacing w:val="-1"/>
          <w:sz w:val="24"/>
          <w:szCs w:val="24"/>
        </w:rPr>
        <w:t>appealing</w:t>
      </w:r>
      <w:r w:rsidRPr="00CA2C15">
        <w:rPr>
          <w:rFonts w:ascii="Calibri" w:eastAsia="Arial" w:hAnsi="Calibri" w:cs="Calibri"/>
          <w:color w:val="000000"/>
          <w:sz w:val="24"/>
          <w:szCs w:val="24"/>
        </w:rPr>
        <w:t xml:space="preserve"> runs from the date on which the decision is given and not the date on which the order is sealed – CPR 52.12.</w:t>
      </w:r>
    </w:p>
    <w:p w14:paraId="5D66CFDA" w14:textId="11458644"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An application for permission to appeal will be determined by the Court of Appeal on the papers, unless the judge considering the application directs an oral </w:t>
      </w:r>
      <w:r w:rsidRPr="00CA2C15">
        <w:rPr>
          <w:rFonts w:ascii="Calibri" w:eastAsia="Times New Roman" w:hAnsi="Calibri" w:cs="Calibri"/>
          <w:sz w:val="24"/>
          <w:szCs w:val="20"/>
          <w:lang w:val="en-GB"/>
        </w:rPr>
        <w:t>hearing</w:t>
      </w:r>
      <w:r w:rsidRPr="00CA2C15">
        <w:rPr>
          <w:rFonts w:ascii="Calibri" w:eastAsia="Arial" w:hAnsi="Calibri" w:cs="Calibri"/>
          <w:color w:val="000000"/>
          <w:sz w:val="24"/>
          <w:szCs w:val="24"/>
        </w:rPr>
        <w:t xml:space="preserve">. </w:t>
      </w:r>
      <w:r w:rsidRPr="00CA2C15">
        <w:rPr>
          <w:rFonts w:ascii="Calibri" w:eastAsia="Arial" w:hAnsi="Calibri" w:cs="Calibri"/>
          <w:color w:val="000000"/>
          <w:spacing w:val="-2"/>
          <w:sz w:val="24"/>
          <w:szCs w:val="24"/>
        </w:rPr>
        <w:t>They</w:t>
      </w:r>
      <w:r w:rsidRPr="00CA2C15">
        <w:rPr>
          <w:rFonts w:ascii="Calibri" w:eastAsia="Arial" w:hAnsi="Calibri" w:cs="Calibri"/>
          <w:color w:val="000000"/>
          <w:sz w:val="24"/>
          <w:szCs w:val="24"/>
        </w:rPr>
        <w:t xml:space="preserve"> must direct an oral hearing if they are of the opinion that the application cannot be fairly determined on paper – CPR 52.5.</w:t>
      </w:r>
    </w:p>
    <w:p w14:paraId="039CF9BC" w14:textId="77777777" w:rsidR="00103E83"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Court of Appeal or the lower court may order a stay but the appeal does not </w:t>
      </w:r>
      <w:r w:rsidRPr="00CA2C15">
        <w:rPr>
          <w:rFonts w:ascii="Calibri" w:eastAsia="Times New Roman" w:hAnsi="Calibri" w:cs="Calibri"/>
          <w:sz w:val="24"/>
          <w:szCs w:val="20"/>
          <w:lang w:val="en-GB"/>
        </w:rPr>
        <w:t>operate</w:t>
      </w:r>
      <w:r w:rsidRPr="00CA2C15">
        <w:rPr>
          <w:rFonts w:ascii="Calibri" w:eastAsia="Arial" w:hAnsi="Calibri" w:cs="Calibri"/>
          <w:color w:val="000000"/>
          <w:sz w:val="24"/>
          <w:szCs w:val="24"/>
        </w:rPr>
        <w:t xml:space="preserve"> as such in the absence of an express order – CPR 52.16.</w:t>
      </w:r>
    </w:p>
    <w:p w14:paraId="6CE92005" w14:textId="062CDB58" w:rsidR="00B935ED" w:rsidRPr="00CA2C15" w:rsidRDefault="00B935ED" w:rsidP="28F8C1D3">
      <w:pPr>
        <w:tabs>
          <w:tab w:val="left" w:pos="216"/>
          <w:tab w:val="left" w:pos="288"/>
        </w:tabs>
        <w:spacing w:after="240" w:line="360" w:lineRule="auto"/>
        <w:ind w:left="357" w:firstLine="363"/>
        <w:jc w:val="both"/>
        <w:textAlignment w:val="baseline"/>
        <w:rPr>
          <w:rFonts w:ascii="Calibri" w:eastAsia="Arial" w:hAnsi="Calibri" w:cs="Calibri"/>
          <w:color w:val="000000"/>
          <w:sz w:val="24"/>
          <w:szCs w:val="24"/>
        </w:rPr>
      </w:pPr>
      <w:r w:rsidRPr="00CA2C15">
        <w:rPr>
          <w:rFonts w:ascii="Calibri" w:eastAsia="Arial" w:hAnsi="Calibri" w:cs="Calibri"/>
          <w:b/>
          <w:bCs/>
          <w:color w:val="000000"/>
          <w:spacing w:val="-1"/>
          <w:sz w:val="24"/>
          <w:szCs w:val="24"/>
        </w:rPr>
        <w:t>Criminal cases</w:t>
      </w:r>
    </w:p>
    <w:p w14:paraId="467E5F6B" w14:textId="46F74B34" w:rsidR="00B935ED" w:rsidRPr="00CA2C15" w:rsidRDefault="00B935ED" w:rsidP="004916C0">
      <w:pPr>
        <w:numPr>
          <w:ilvl w:val="0"/>
          <w:numId w:val="4"/>
        </w:numPr>
        <w:tabs>
          <w:tab w:val="num" w:pos="717"/>
        </w:tabs>
        <w:spacing w:after="240" w:line="360" w:lineRule="auto"/>
        <w:ind w:left="720"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In the case of any decision in a criminal cause or matter an appeal lies to the </w:t>
      </w:r>
      <w:r w:rsidRPr="00CA2C15">
        <w:rPr>
          <w:rFonts w:ascii="Calibri" w:eastAsia="Times New Roman" w:hAnsi="Calibri" w:cs="Calibri"/>
          <w:sz w:val="24"/>
          <w:szCs w:val="20"/>
          <w:lang w:val="en-GB"/>
        </w:rPr>
        <w:t>Supreme</w:t>
      </w:r>
      <w:r w:rsidRPr="00CA2C15">
        <w:rPr>
          <w:rFonts w:ascii="Calibri" w:eastAsia="Arial" w:hAnsi="Calibri" w:cs="Calibri"/>
          <w:color w:val="000000"/>
          <w:sz w:val="24"/>
          <w:szCs w:val="24"/>
        </w:rPr>
        <w:t xml:space="preserve"> </w:t>
      </w:r>
      <w:r w:rsidRPr="00CA2C15">
        <w:rPr>
          <w:rFonts w:ascii="Calibri" w:eastAsia="Arial" w:hAnsi="Calibri" w:cs="Calibri"/>
          <w:color w:val="000000"/>
          <w:spacing w:val="-1"/>
          <w:sz w:val="24"/>
          <w:szCs w:val="24"/>
        </w:rPr>
        <w:t>Court</w:t>
      </w:r>
      <w:r w:rsidRPr="00CA2C15">
        <w:rPr>
          <w:rFonts w:ascii="Calibri" w:eastAsia="Arial" w:hAnsi="Calibri" w:cs="Calibri"/>
          <w:color w:val="000000"/>
          <w:sz w:val="24"/>
          <w:szCs w:val="24"/>
        </w:rPr>
        <w:t xml:space="preserve"> – s. 1, Administration of Justice Act 1960. It is a precondition of such an appeal that:</w:t>
      </w:r>
    </w:p>
    <w:p w14:paraId="791F7298" w14:textId="77777777" w:rsidR="00B935ED" w:rsidRPr="00CA2C15" w:rsidRDefault="00B935ED" w:rsidP="004916C0">
      <w:pPr>
        <w:numPr>
          <w:ilvl w:val="0"/>
          <w:numId w:val="20"/>
        </w:numPr>
        <w:tabs>
          <w:tab w:val="clear" w:pos="183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The High Court grants a certificate that the case raises a point of law of general public importance. Only the High Court can grant this.</w:t>
      </w:r>
    </w:p>
    <w:p w14:paraId="0F136A0D" w14:textId="70855863" w:rsidR="00B663ED" w:rsidRPr="00532986" w:rsidRDefault="00B935ED" w:rsidP="00532986">
      <w:pPr>
        <w:numPr>
          <w:ilvl w:val="0"/>
          <w:numId w:val="20"/>
        </w:numPr>
        <w:tabs>
          <w:tab w:val="clear" w:pos="1835"/>
          <w:tab w:val="num" w:pos="1447"/>
        </w:tabs>
        <w:spacing w:after="240" w:line="360" w:lineRule="auto"/>
        <w:ind w:left="1447" w:hanging="720"/>
        <w:jc w:val="both"/>
        <w:rPr>
          <w:rFonts w:ascii="Calibri" w:eastAsia="Arial" w:hAnsi="Calibri" w:cs="Calibri"/>
          <w:color w:val="000000"/>
          <w:sz w:val="24"/>
          <w:szCs w:val="24"/>
        </w:rPr>
      </w:pPr>
      <w:r w:rsidRPr="00CA2C15">
        <w:rPr>
          <w:rFonts w:ascii="Calibri" w:eastAsia="Arial" w:hAnsi="Calibri" w:cs="Calibri"/>
          <w:color w:val="000000"/>
          <w:sz w:val="24"/>
          <w:szCs w:val="24"/>
        </w:rPr>
        <w:t xml:space="preserve">The High Court or the Supreme Court grants leave to appeal. An application must be made first to the High Court though in practice it is very rare for that court to grant leave. An application for leave to </w:t>
      </w:r>
      <w:r w:rsidRPr="00CA2C15">
        <w:rPr>
          <w:rFonts w:ascii="Calibri" w:eastAsia="Times New Roman" w:hAnsi="Calibri" w:cs="Calibri"/>
          <w:sz w:val="24"/>
          <w:szCs w:val="20"/>
          <w:lang w:val="en-GB"/>
        </w:rPr>
        <w:t>appeal</w:t>
      </w:r>
      <w:r w:rsidRPr="00CA2C15">
        <w:rPr>
          <w:rFonts w:ascii="Calibri" w:eastAsia="Arial" w:hAnsi="Calibri" w:cs="Calibri"/>
          <w:color w:val="000000"/>
          <w:sz w:val="24"/>
          <w:szCs w:val="24"/>
        </w:rPr>
        <w:t xml:space="preserve"> must be made to the Administrative Court within 28 days of the decision and must be accompanied by a draft of the question that the Court is being asked to certify. If that Court refuses permission then the Appellant must present a petition to the Supreme Court within 28 days.</w:t>
      </w:r>
    </w:p>
    <w:sectPr w:rsidR="00B663ED" w:rsidRPr="00532986" w:rsidSect="00303E7C">
      <w:headerReference w:type="default" r:id="rId28"/>
      <w:footerReference w:type="default" r:id="rId2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89E2D" w14:textId="77777777" w:rsidR="00775F12" w:rsidRDefault="00775F12" w:rsidP="00446B00">
      <w:r>
        <w:separator/>
      </w:r>
    </w:p>
  </w:endnote>
  <w:endnote w:type="continuationSeparator" w:id="0">
    <w:p w14:paraId="2ADCE099" w14:textId="77777777" w:rsidR="00775F12" w:rsidRDefault="00775F12" w:rsidP="00446B00">
      <w:r>
        <w:continuationSeparator/>
      </w:r>
    </w:p>
  </w:endnote>
  <w:endnote w:type="continuationNotice" w:id="1">
    <w:p w14:paraId="1A9583E8" w14:textId="77777777" w:rsidR="00775F12" w:rsidRDefault="00775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719260"/>
      <w:docPartObj>
        <w:docPartGallery w:val="Page Numbers (Bottom of Page)"/>
        <w:docPartUnique/>
      </w:docPartObj>
    </w:sdtPr>
    <w:sdtEndPr>
      <w:rPr>
        <w:rFonts w:ascii="Arial" w:hAnsi="Arial" w:cs="Arial"/>
        <w:noProof/>
        <w:sz w:val="20"/>
        <w:szCs w:val="20"/>
      </w:rPr>
    </w:sdtEndPr>
    <w:sdtContent>
      <w:p w14:paraId="797F698D" w14:textId="4D4C72F9" w:rsidR="00CB68CE" w:rsidRPr="00CB68CE" w:rsidRDefault="00CB68CE">
        <w:pPr>
          <w:pStyle w:val="Footer"/>
          <w:jc w:val="center"/>
          <w:rPr>
            <w:rFonts w:ascii="Arial" w:hAnsi="Arial" w:cs="Arial"/>
            <w:sz w:val="20"/>
            <w:szCs w:val="20"/>
          </w:rPr>
        </w:pPr>
        <w:r w:rsidRPr="00CB68CE">
          <w:rPr>
            <w:rFonts w:ascii="Arial" w:hAnsi="Arial" w:cs="Arial"/>
            <w:sz w:val="20"/>
            <w:szCs w:val="20"/>
          </w:rPr>
          <w:fldChar w:fldCharType="begin"/>
        </w:r>
        <w:r w:rsidRPr="00CB68CE">
          <w:rPr>
            <w:rFonts w:ascii="Arial" w:hAnsi="Arial" w:cs="Arial"/>
            <w:sz w:val="20"/>
            <w:szCs w:val="20"/>
          </w:rPr>
          <w:instrText xml:space="preserve"> PAGE   \* MERGEFORMAT </w:instrText>
        </w:r>
        <w:r w:rsidRPr="00CB68CE">
          <w:rPr>
            <w:rFonts w:ascii="Arial" w:hAnsi="Arial" w:cs="Arial"/>
            <w:sz w:val="20"/>
            <w:szCs w:val="20"/>
          </w:rPr>
          <w:fldChar w:fldCharType="separate"/>
        </w:r>
        <w:r w:rsidRPr="00CB68CE">
          <w:rPr>
            <w:rFonts w:ascii="Arial" w:hAnsi="Arial" w:cs="Arial"/>
            <w:noProof/>
            <w:sz w:val="20"/>
            <w:szCs w:val="20"/>
          </w:rPr>
          <w:t>2</w:t>
        </w:r>
        <w:r w:rsidRPr="00CB68CE">
          <w:rPr>
            <w:rFonts w:ascii="Arial" w:hAnsi="Arial" w:cs="Arial"/>
            <w:noProof/>
            <w:sz w:val="20"/>
            <w:szCs w:val="20"/>
          </w:rPr>
          <w:fldChar w:fldCharType="end"/>
        </w:r>
      </w:p>
    </w:sdtContent>
  </w:sdt>
  <w:p w14:paraId="290B13F5" w14:textId="77777777" w:rsidR="00CB68CE" w:rsidRDefault="00CB6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2FEF4" w14:textId="77777777" w:rsidR="00775F12" w:rsidRDefault="00775F12" w:rsidP="00446B00">
      <w:r>
        <w:separator/>
      </w:r>
    </w:p>
  </w:footnote>
  <w:footnote w:type="continuationSeparator" w:id="0">
    <w:p w14:paraId="1A2A308C" w14:textId="77777777" w:rsidR="00775F12" w:rsidRDefault="00775F12" w:rsidP="00446B00">
      <w:r>
        <w:continuationSeparator/>
      </w:r>
    </w:p>
  </w:footnote>
  <w:footnote w:type="continuationNotice" w:id="1">
    <w:p w14:paraId="7751F40F" w14:textId="77777777" w:rsidR="00775F12" w:rsidRDefault="00775F12"/>
  </w:footnote>
  <w:footnote w:id="2">
    <w:p w14:paraId="13C9F75E" w14:textId="298E2A9D" w:rsidR="00F41E0B" w:rsidRPr="00CA2C15" w:rsidRDefault="00F41E0B">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w:t>
      </w:r>
      <w:r w:rsidRPr="00CA2C15">
        <w:rPr>
          <w:rFonts w:ascii="Calibri" w:eastAsia="Arial" w:hAnsi="Calibri" w:cs="Calibri"/>
          <w:color w:val="000000"/>
          <w:sz w:val="18"/>
          <w:szCs w:val="18"/>
        </w:rPr>
        <w:t xml:space="preserve">With thanks to Dan Carey of Deighton Pierce Glynn, Martin Westgate </w:t>
      </w:r>
      <w:r w:rsidR="00C6010F">
        <w:rPr>
          <w:rFonts w:ascii="Calibri" w:eastAsia="Arial" w:hAnsi="Calibri" w:cs="Calibri"/>
          <w:color w:val="000000"/>
          <w:sz w:val="18"/>
          <w:szCs w:val="18"/>
        </w:rPr>
        <w:t>KC</w:t>
      </w:r>
      <w:r w:rsidR="00D94C7B" w:rsidRPr="00CA2C15">
        <w:rPr>
          <w:rFonts w:ascii="Calibri" w:eastAsia="Arial" w:hAnsi="Calibri" w:cs="Calibri"/>
          <w:color w:val="000000"/>
          <w:sz w:val="18"/>
          <w:szCs w:val="18"/>
        </w:rPr>
        <w:t>,</w:t>
      </w:r>
      <w:r w:rsidRPr="00CA2C15">
        <w:rPr>
          <w:rFonts w:ascii="Calibri" w:eastAsia="Arial" w:hAnsi="Calibri" w:cs="Calibri"/>
          <w:color w:val="000000"/>
          <w:sz w:val="18"/>
          <w:szCs w:val="18"/>
        </w:rPr>
        <w:t xml:space="preserve"> Caolfhionn Gallagher </w:t>
      </w:r>
      <w:r w:rsidR="00C6010F">
        <w:rPr>
          <w:rFonts w:ascii="Calibri" w:eastAsia="Arial" w:hAnsi="Calibri" w:cs="Calibri"/>
          <w:color w:val="000000"/>
          <w:sz w:val="18"/>
          <w:szCs w:val="18"/>
        </w:rPr>
        <w:t>K</w:t>
      </w:r>
      <w:r w:rsidRPr="00CA2C15">
        <w:rPr>
          <w:rFonts w:ascii="Calibri" w:eastAsia="Arial" w:hAnsi="Calibri" w:cs="Calibri"/>
          <w:color w:val="000000"/>
          <w:sz w:val="18"/>
          <w:szCs w:val="18"/>
        </w:rPr>
        <w:t xml:space="preserve">C and Catherine Meredith of Doughty Street Chambers, Rory O’Ryan, Lucy Mair and Tom Royston of Garden Court North, </w:t>
      </w:r>
      <w:r w:rsidR="00530653" w:rsidRPr="00CA2C15">
        <w:rPr>
          <w:rFonts w:ascii="Calibri" w:eastAsia="Arial" w:hAnsi="Calibri" w:cs="Calibri"/>
          <w:color w:val="000000"/>
          <w:sz w:val="18"/>
          <w:szCs w:val="18"/>
        </w:rPr>
        <w:t>Miranda Butler of Landmark Chambers</w:t>
      </w:r>
      <w:r w:rsidR="0011137B" w:rsidRPr="00CA2C15">
        <w:rPr>
          <w:rFonts w:ascii="Calibri" w:eastAsia="Arial" w:hAnsi="Calibri" w:cs="Calibri"/>
          <w:color w:val="000000"/>
          <w:sz w:val="18"/>
          <w:szCs w:val="18"/>
        </w:rPr>
        <w:t xml:space="preserve">, </w:t>
      </w:r>
      <w:r w:rsidRPr="00CA2C15">
        <w:rPr>
          <w:rFonts w:ascii="Calibri" w:eastAsia="Arial" w:hAnsi="Calibri" w:cs="Calibri"/>
          <w:color w:val="000000"/>
          <w:sz w:val="18"/>
          <w:szCs w:val="18"/>
        </w:rPr>
        <w:t xml:space="preserve">Steve Cragg </w:t>
      </w:r>
      <w:r w:rsidR="00AB166D" w:rsidRPr="00CA2C15">
        <w:rPr>
          <w:rFonts w:ascii="Calibri" w:eastAsia="Arial" w:hAnsi="Calibri" w:cs="Calibri"/>
          <w:color w:val="000000"/>
          <w:sz w:val="18"/>
          <w:szCs w:val="18"/>
        </w:rPr>
        <w:t xml:space="preserve">KC </w:t>
      </w:r>
      <w:r w:rsidRPr="00CA2C15">
        <w:rPr>
          <w:rFonts w:ascii="Calibri" w:eastAsia="Arial" w:hAnsi="Calibri" w:cs="Calibri"/>
          <w:color w:val="000000"/>
          <w:sz w:val="18"/>
          <w:szCs w:val="18"/>
        </w:rPr>
        <w:t xml:space="preserve">of </w:t>
      </w:r>
      <w:r w:rsidR="00AB166D" w:rsidRPr="00CA2C15">
        <w:rPr>
          <w:rFonts w:ascii="Calibri" w:eastAsia="Arial" w:hAnsi="Calibri" w:cs="Calibri"/>
          <w:color w:val="000000"/>
          <w:sz w:val="18"/>
          <w:szCs w:val="18"/>
        </w:rPr>
        <w:t xml:space="preserve">Doughty Street </w:t>
      </w:r>
      <w:r w:rsidRPr="00CA2C15">
        <w:rPr>
          <w:rFonts w:ascii="Calibri" w:eastAsia="Arial" w:hAnsi="Calibri" w:cs="Calibri"/>
          <w:color w:val="000000"/>
          <w:sz w:val="18"/>
          <w:szCs w:val="18"/>
        </w:rPr>
        <w:t xml:space="preserve">Chambers, and Gerard Rothschild of Brick Court Chambers. </w:t>
      </w:r>
    </w:p>
  </w:footnote>
  <w:footnote w:id="3">
    <w:p w14:paraId="1191622A" w14:textId="23665ECC" w:rsidR="00F41E0B" w:rsidRPr="00CA2C15" w:rsidRDefault="00F41E0B">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w:t>
      </w:r>
      <w:r w:rsidR="00DF42A4" w:rsidRPr="00CA2C15">
        <w:rPr>
          <w:rFonts w:ascii="Calibri" w:eastAsia="Arial" w:hAnsi="Calibri" w:cs="Calibri"/>
          <w:color w:val="000000"/>
          <w:sz w:val="18"/>
          <w:szCs w:val="18"/>
        </w:rPr>
        <w:t xml:space="preserve">Annex 9 of </w:t>
      </w:r>
      <w:hyperlink r:id="rId1" w:history="1">
        <w:r w:rsidR="00C91F3D" w:rsidRPr="00CA2C15">
          <w:rPr>
            <w:rStyle w:val="Hyperlink"/>
            <w:rFonts w:ascii="Calibri" w:eastAsia="Arial" w:hAnsi="Calibri" w:cs="Calibri"/>
            <w:sz w:val="18"/>
            <w:szCs w:val="18"/>
          </w:rPr>
          <w:t>The Administrative Court Judicial Review Guide</w:t>
        </w:r>
      </w:hyperlink>
      <w:r w:rsidR="006A4C60" w:rsidRPr="00CA2C15">
        <w:rPr>
          <w:rFonts w:ascii="Calibri" w:eastAsia="Arial" w:hAnsi="Calibri" w:cs="Calibri"/>
          <w:color w:val="000000"/>
          <w:sz w:val="18"/>
          <w:szCs w:val="18"/>
        </w:rPr>
        <w:t xml:space="preserve"> </w:t>
      </w:r>
      <w:r w:rsidR="002F3988" w:rsidRPr="00CA2C15">
        <w:rPr>
          <w:rFonts w:ascii="Calibri" w:hAnsi="Calibri" w:cs="Calibri"/>
          <w:sz w:val="18"/>
          <w:szCs w:val="18"/>
        </w:rPr>
        <w:t xml:space="preserve">Please also note </w:t>
      </w:r>
      <w:hyperlink r:id="rId2" w:anchor="related_content" w:history="1">
        <w:r w:rsidR="002F3988" w:rsidRPr="00CA2C15">
          <w:rPr>
            <w:rStyle w:val="Hyperlink"/>
            <w:rFonts w:ascii="Calibri" w:hAnsi="Calibri" w:cs="Calibri"/>
            <w:sz w:val="18"/>
            <w:szCs w:val="18"/>
          </w:rPr>
          <w:t>https://www.judiciary.uk/guidance-and-resources/administrative-court-information-for-court-users-june-2022/#related_content</w:t>
        </w:r>
      </w:hyperlink>
      <w:r w:rsidR="002F3988" w:rsidRPr="00CA2C15">
        <w:rPr>
          <w:rFonts w:ascii="Calibri" w:hAnsi="Calibri" w:cs="Calibri"/>
          <w:sz w:val="18"/>
          <w:szCs w:val="18"/>
        </w:rPr>
        <w:t xml:space="preserve">, which has been updated with some information about CE-file. </w:t>
      </w:r>
    </w:p>
  </w:footnote>
  <w:footnote w:id="4">
    <w:p w14:paraId="5623757E" w14:textId="3A436A1D" w:rsidR="00AC7F70" w:rsidRPr="00CA2C15" w:rsidRDefault="00AC7F70">
      <w:pPr>
        <w:pStyle w:val="FootnoteText"/>
        <w:rPr>
          <w:rFonts w:ascii="Calibri" w:hAnsi="Calibri" w:cs="Calibri"/>
        </w:rPr>
      </w:pPr>
      <w:r w:rsidRPr="00CA2C15">
        <w:rPr>
          <w:rStyle w:val="FootnoteReference"/>
          <w:rFonts w:ascii="Calibri" w:hAnsi="Calibri" w:cs="Calibri"/>
        </w:rPr>
        <w:footnoteRef/>
      </w:r>
      <w:r w:rsidRPr="00CA2C15">
        <w:rPr>
          <w:rFonts w:ascii="Calibri" w:hAnsi="Calibri" w:cs="Calibri"/>
        </w:rPr>
        <w:t xml:space="preserve"> </w:t>
      </w:r>
      <w:hyperlink r:id="rId3" w:history="1">
        <w:r w:rsidRPr="00CA2C15">
          <w:rPr>
            <w:rStyle w:val="Hyperlink"/>
            <w:rFonts w:ascii="Calibri" w:hAnsi="Calibri" w:cs="Calibri"/>
            <w:sz w:val="18"/>
            <w:szCs w:val="18"/>
          </w:rPr>
          <w:t>E-Filing pilot goes live - Courts and Tribunals Judiciary</w:t>
        </w:r>
      </w:hyperlink>
    </w:p>
  </w:footnote>
  <w:footnote w:id="5">
    <w:p w14:paraId="40DE807E" w14:textId="1CE7FF87" w:rsidR="00F41E0B" w:rsidRPr="00CA2C15" w:rsidRDefault="00F41E0B">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The Civil Legal Aid (Remuneration) (Amendment) Regulations 2015 S.I. 2015/898</w:t>
      </w:r>
      <w:r w:rsidR="00385E92" w:rsidRPr="00CA2C15">
        <w:rPr>
          <w:rFonts w:ascii="Calibri" w:hAnsi="Calibri" w:cs="Calibri"/>
          <w:sz w:val="18"/>
          <w:szCs w:val="18"/>
        </w:rPr>
        <w:t xml:space="preserve">; </w:t>
      </w:r>
      <w:r w:rsidR="006328D6" w:rsidRPr="00CA2C15">
        <w:rPr>
          <w:rFonts w:ascii="Calibri" w:hAnsi="Calibri" w:cs="Calibri"/>
          <w:sz w:val="18"/>
          <w:szCs w:val="18"/>
        </w:rPr>
        <w:t xml:space="preserve">The MoJ has issued helpful guidance here: </w:t>
      </w:r>
      <w:hyperlink r:id="rId4" w:history="1">
        <w:r w:rsidR="00385E92" w:rsidRPr="00CA2C15">
          <w:rPr>
            <w:rStyle w:val="Hyperlink"/>
            <w:rFonts w:ascii="Calibri" w:hAnsi="Calibri" w:cs="Calibri"/>
            <w:sz w:val="18"/>
            <w:szCs w:val="18"/>
          </w:rPr>
          <w:t>Regulation 5A Clarification</w:t>
        </w:r>
      </w:hyperlink>
    </w:p>
  </w:footnote>
  <w:footnote w:id="6">
    <w:p w14:paraId="3D0F3DBA" w14:textId="50F15B58" w:rsidR="00F41E0B" w:rsidRPr="00CA2C15" w:rsidRDefault="00F41E0B">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CPR 54.1(2)(a)(ii)</w:t>
      </w:r>
    </w:p>
  </w:footnote>
  <w:footnote w:id="7">
    <w:p w14:paraId="283CACCF" w14:textId="39AB2E9C" w:rsidR="00AF7ADD" w:rsidRPr="00CA2C15" w:rsidRDefault="00AF7ADD">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w:t>
      </w:r>
      <w:hyperlink r:id="rId5" w:history="1">
        <w:r w:rsidR="009E4629" w:rsidRPr="00CA2C15">
          <w:rPr>
            <w:rStyle w:val="Hyperlink"/>
            <w:rFonts w:ascii="Calibri" w:hAnsi="Calibri" w:cs="Calibri"/>
            <w:sz w:val="18"/>
            <w:szCs w:val="18"/>
          </w:rPr>
          <w:t>Pre-Action Protocol for Judicial Review – Civil Procedure Rules</w:t>
        </w:r>
      </w:hyperlink>
    </w:p>
  </w:footnote>
  <w:footnote w:id="8">
    <w:p w14:paraId="15DCF388" w14:textId="2FDAC761" w:rsidR="00446B00" w:rsidRPr="00CA2C15" w:rsidRDefault="00446B00">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w:t>
      </w:r>
      <w:bookmarkStart w:id="0" w:name="_Hlk183033377"/>
      <w:r w:rsidRPr="00CA2C15">
        <w:rPr>
          <w:rFonts w:ascii="Calibri" w:hAnsi="Calibri" w:cs="Calibri"/>
          <w:sz w:val="18"/>
          <w:szCs w:val="18"/>
        </w:rPr>
        <w:t>PLP’s recent experience has been that the Administrative Court in London has not required hard copies to be filed.</w:t>
      </w:r>
      <w:r w:rsidR="00546D3F" w:rsidRPr="00CA2C15">
        <w:rPr>
          <w:rFonts w:ascii="Calibri" w:hAnsi="Calibri" w:cs="Calibri"/>
          <w:sz w:val="18"/>
          <w:szCs w:val="18"/>
        </w:rPr>
        <w:t xml:space="preserve"> But </w:t>
      </w:r>
      <w:r w:rsidR="00546D3F" w:rsidRPr="00CA2C15">
        <w:rPr>
          <w:rFonts w:ascii="Calibri" w:hAnsi="Calibri" w:cs="Calibri"/>
          <w:sz w:val="18"/>
          <w:szCs w:val="18"/>
          <w:lang w:val="en-GB"/>
        </w:rPr>
        <w:t>it is still possible to issue a judicial review using a hard copy claim form and bundle by post or in accordance with the drop box procedure set out at paragraph 7.8.2 of the Administrative Court’s Judicial Review Guide, but the preference is for electronic filing.</w:t>
      </w:r>
      <w:r w:rsidRPr="00CA2C15">
        <w:rPr>
          <w:rFonts w:ascii="Calibri" w:hAnsi="Calibri" w:cs="Calibri"/>
          <w:sz w:val="18"/>
          <w:szCs w:val="18"/>
        </w:rPr>
        <w:t xml:space="preserve"> You may wish to enquire with the </w:t>
      </w:r>
      <w:r w:rsidR="000545B6" w:rsidRPr="00CA2C15">
        <w:rPr>
          <w:rFonts w:ascii="Calibri" w:hAnsi="Calibri" w:cs="Calibri"/>
          <w:sz w:val="18"/>
          <w:szCs w:val="18"/>
        </w:rPr>
        <w:t>c</w:t>
      </w:r>
      <w:r w:rsidRPr="00CA2C15">
        <w:rPr>
          <w:rFonts w:ascii="Calibri" w:hAnsi="Calibri" w:cs="Calibri"/>
          <w:sz w:val="18"/>
          <w:szCs w:val="18"/>
        </w:rPr>
        <w:t xml:space="preserve">ourt if a hard copy is required prior to the filing deadline. Practice may also differ where urgent proceedings are being filed. We note that the </w:t>
      </w:r>
      <w:r w:rsidRPr="00CA2C15">
        <w:rPr>
          <w:rFonts w:ascii="Calibri" w:eastAsia="Arial" w:hAnsi="Calibri" w:cs="Calibri"/>
          <w:color w:val="000000"/>
          <w:sz w:val="18"/>
          <w:szCs w:val="18"/>
        </w:rPr>
        <w:t>Administrative Court Judicial Review Guide, para</w:t>
      </w:r>
      <w:r w:rsidRPr="00CA2C15">
        <w:rPr>
          <w:rFonts w:ascii="Calibri" w:hAnsi="Calibri" w:cs="Calibri"/>
          <w:sz w:val="18"/>
          <w:szCs w:val="18"/>
        </w:rPr>
        <w:t xml:space="preserve"> 7.3.6 and PD 54A, para 4.5 still state that bundles are to be filed in electronic and hard copy, unless otherwise requested. </w:t>
      </w:r>
      <w:bookmarkEnd w:id="0"/>
    </w:p>
  </w:footnote>
  <w:footnote w:id="9">
    <w:p w14:paraId="67CABD93" w14:textId="524B0EF4" w:rsidR="00207B44" w:rsidRPr="00CA2C15" w:rsidRDefault="00207B44">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w:t>
      </w:r>
      <w:hyperlink r:id="rId6" w:history="1">
        <w:r w:rsidR="00DC5346" w:rsidRPr="00CA2C15">
          <w:rPr>
            <w:rStyle w:val="Hyperlink"/>
            <w:rFonts w:ascii="Calibri" w:hAnsi="Calibri" w:cs="Calibri"/>
            <w:sz w:val="18"/>
            <w:szCs w:val="18"/>
          </w:rPr>
          <w:t>https://www.judiciary.uk/wp-content/uploads/2023/08/20230831-PD-CE-File-UT-IAC.pdf</w:t>
        </w:r>
      </w:hyperlink>
      <w:r w:rsidR="00DC5346" w:rsidRPr="00CA2C15">
        <w:rPr>
          <w:rFonts w:ascii="Calibri" w:hAnsi="Calibri" w:cs="Calibri"/>
          <w:sz w:val="18"/>
          <w:szCs w:val="18"/>
        </w:rPr>
        <w:t xml:space="preserve"> and subsequent guidance </w:t>
      </w:r>
      <w:hyperlink r:id="rId7" w:history="1">
        <w:r w:rsidR="00DC5346" w:rsidRPr="00CA2C15">
          <w:rPr>
            <w:rStyle w:val="Hyperlink"/>
            <w:rFonts w:ascii="Calibri" w:hAnsi="Calibri" w:cs="Calibri"/>
            <w:sz w:val="18"/>
            <w:szCs w:val="18"/>
          </w:rPr>
          <w:t>https://www.judiciary.uk/wp-content/uploads/2023/09/UTIAC-CE-file-and-e-bundle-guidance_September-2023-rev3-final-signed.pdf</w:t>
        </w:r>
      </w:hyperlink>
      <w:r w:rsidRPr="00CA2C15">
        <w:rPr>
          <w:rFonts w:ascii="Calibri" w:hAnsi="Calibri" w:cs="Calibri"/>
          <w:sz w:val="18"/>
          <w:szCs w:val="18"/>
        </w:rPr>
        <w:t xml:space="preserve"> </w:t>
      </w:r>
    </w:p>
  </w:footnote>
  <w:footnote w:id="10">
    <w:p w14:paraId="183ED6CC" w14:textId="521DEDD1" w:rsidR="00856871" w:rsidRPr="00CA2C15" w:rsidRDefault="00856871">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This includes an application for an abridgment of time for the Defendant to file an Acknowledgment of Service, as in reality this would require consideration by a judge within 7 days. Such an application should be included on an N463 and not in the 'Other applications’ section of the N461.</w:t>
      </w:r>
    </w:p>
  </w:footnote>
  <w:footnote w:id="11">
    <w:p w14:paraId="1E99DFEF" w14:textId="08B49875" w:rsidR="00130814" w:rsidRPr="00CA2C15" w:rsidRDefault="00130814">
      <w:pPr>
        <w:pStyle w:val="FootnoteText"/>
        <w:rPr>
          <w:rFonts w:ascii="Calibri" w:hAnsi="Calibri" w:cs="Calibri"/>
          <w:lang w:val="en-GB"/>
        </w:rPr>
      </w:pPr>
      <w:r w:rsidRPr="00CA2C15">
        <w:rPr>
          <w:rStyle w:val="FootnoteReference"/>
          <w:rFonts w:ascii="Calibri" w:hAnsi="Calibri" w:cs="Calibri"/>
          <w:sz w:val="18"/>
          <w:szCs w:val="18"/>
        </w:rPr>
        <w:footnoteRef/>
      </w:r>
      <w:r w:rsidRPr="00CA2C15">
        <w:rPr>
          <w:rFonts w:ascii="Calibri" w:hAnsi="Calibri" w:cs="Calibri"/>
          <w:sz w:val="18"/>
          <w:szCs w:val="18"/>
        </w:rPr>
        <w:t xml:space="preserve"> CPR 54C PD paras 2.1 and 2.5</w:t>
      </w:r>
    </w:p>
  </w:footnote>
  <w:footnote w:id="12">
    <w:p w14:paraId="54C40327" w14:textId="1BD34FF2" w:rsidR="00993393" w:rsidRPr="00CA2C15" w:rsidRDefault="00993393">
      <w:pPr>
        <w:pStyle w:val="FootnoteText"/>
        <w:rPr>
          <w:rFonts w:ascii="Calibri" w:hAnsi="Calibri" w:cs="Calibri"/>
          <w:sz w:val="18"/>
          <w:szCs w:val="18"/>
          <w:lang w:val="en-GB"/>
        </w:rPr>
      </w:pPr>
      <w:r w:rsidRPr="00CA2C15">
        <w:rPr>
          <w:rStyle w:val="FootnoteReference"/>
          <w:rFonts w:ascii="Calibri" w:hAnsi="Calibri" w:cs="Calibri"/>
          <w:sz w:val="18"/>
          <w:szCs w:val="18"/>
        </w:rPr>
        <w:footnoteRef/>
      </w:r>
      <w:r w:rsidRPr="00CA2C15">
        <w:rPr>
          <w:rFonts w:ascii="Calibri" w:hAnsi="Calibri" w:cs="Calibri"/>
          <w:sz w:val="18"/>
          <w:szCs w:val="18"/>
        </w:rPr>
        <w:t xml:space="preserve"> CPR 7.1A</w:t>
      </w:r>
    </w:p>
  </w:footnote>
  <w:footnote w:id="13">
    <w:p w14:paraId="76DA3124" w14:textId="17F74674" w:rsidR="00856871" w:rsidRPr="00CA2C15" w:rsidRDefault="00856871">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w:t>
      </w:r>
      <w:bookmarkStart w:id="1" w:name="_Hlk183033359"/>
      <w:r w:rsidRPr="00CA2C15">
        <w:rPr>
          <w:rFonts w:ascii="Calibri" w:hAnsi="Calibri" w:cs="Calibri"/>
          <w:sz w:val="18"/>
          <w:szCs w:val="18"/>
        </w:rPr>
        <w:t>Note that the Court has demonstrated recently that it is in favour of claims being heard outside of London, where appropriate. If a Claimant is based closer to another hearing centre, the fact that legal representatives are based in London may not be enough to persuade a judge not to transfer the claim. If you want the claim to be heard in London in circumstances where the claim could be said to be connected to another region, do explain why London is the appropriate venue in the claim form in as much detail as possible. It is worth explaining why London is appropriate in any case, as we understand that case lawyers are actively looking for cases that may be candidates for transfer outside of London.</w:t>
      </w:r>
      <w:bookmarkEnd w:id="1"/>
      <w:r w:rsidR="00B4253E" w:rsidRPr="00CA2C15">
        <w:rPr>
          <w:rFonts w:ascii="Calibri" w:hAnsi="Calibri" w:cs="Calibri"/>
          <w:sz w:val="18"/>
          <w:szCs w:val="18"/>
        </w:rPr>
        <w:t xml:space="preserve"> See also section 7.7. of the Administrative Court </w:t>
      </w:r>
      <w:r w:rsidR="007818B7" w:rsidRPr="00CA2C15">
        <w:rPr>
          <w:rFonts w:ascii="Calibri" w:hAnsi="Calibri" w:cs="Calibri"/>
          <w:sz w:val="18"/>
          <w:szCs w:val="18"/>
        </w:rPr>
        <w:t xml:space="preserve">Judicial Review </w:t>
      </w:r>
      <w:r w:rsidR="00B4253E" w:rsidRPr="00CA2C15">
        <w:rPr>
          <w:rFonts w:ascii="Calibri" w:hAnsi="Calibri" w:cs="Calibri"/>
          <w:sz w:val="18"/>
          <w:szCs w:val="18"/>
        </w:rPr>
        <w:t xml:space="preserve">Guide and R (Bartosik) v Office of the Police &amp; Crime Commissioner of Norfolk [2024] EWHC 932 (Admin) </w:t>
      </w:r>
      <w:hyperlink r:id="rId8" w:history="1">
        <w:r w:rsidR="00B4253E" w:rsidRPr="00CA2C15">
          <w:rPr>
            <w:rStyle w:val="Hyperlink"/>
            <w:rFonts w:ascii="Calibri" w:hAnsi="Calibri" w:cs="Calibri"/>
            <w:sz w:val="18"/>
            <w:szCs w:val="18"/>
          </w:rPr>
          <w:t>https://www.bailii.org/ew/cases/EWHC/Admin/2024/932.pdf</w:t>
        </w:r>
      </w:hyperlink>
      <w:r w:rsidR="00B4253E" w:rsidRPr="00CA2C15">
        <w:rPr>
          <w:rFonts w:ascii="Calibri" w:hAnsi="Calibri" w:cs="Calibri"/>
          <w:sz w:val="18"/>
          <w:szCs w:val="18"/>
        </w:rPr>
        <w:t xml:space="preserve">. </w:t>
      </w:r>
    </w:p>
  </w:footnote>
  <w:footnote w:id="14">
    <w:p w14:paraId="5397F923" w14:textId="73CC717D" w:rsidR="00CC0AD6" w:rsidRPr="00CA2C15" w:rsidRDefault="00CC0AD6">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w:t>
      </w:r>
      <w:r w:rsidR="004A34D0" w:rsidRPr="00CA2C15">
        <w:rPr>
          <w:rFonts w:ascii="Calibri" w:hAnsi="Calibri" w:cs="Calibri"/>
          <w:sz w:val="18"/>
          <w:szCs w:val="18"/>
        </w:rPr>
        <w:t xml:space="preserve">See Annex 9 </w:t>
      </w:r>
      <w:hyperlink r:id="rId9" w:history="1">
        <w:r w:rsidR="00025575" w:rsidRPr="00CA2C15">
          <w:rPr>
            <w:rStyle w:val="Hyperlink"/>
            <w:rFonts w:ascii="Calibri" w:hAnsi="Calibri" w:cs="Calibri"/>
            <w:sz w:val="18"/>
            <w:szCs w:val="18"/>
          </w:rPr>
          <w:t>The Administrative Court Judicial Review Guide</w:t>
        </w:r>
      </w:hyperlink>
      <w:r w:rsidR="00025575" w:rsidRPr="00CA2C15">
        <w:rPr>
          <w:rFonts w:ascii="Calibri" w:hAnsi="Calibri" w:cs="Calibri"/>
          <w:sz w:val="18"/>
          <w:szCs w:val="18"/>
        </w:rPr>
        <w:t xml:space="preserve"> </w:t>
      </w:r>
      <w:r w:rsidRPr="00CA2C15">
        <w:rPr>
          <w:rFonts w:ascii="Calibri" w:hAnsi="Calibri" w:cs="Calibri"/>
          <w:sz w:val="18"/>
          <w:szCs w:val="18"/>
          <w:lang w:val="en-GB"/>
        </w:rPr>
        <w:t>It is still possible to issue a judicial review using a hard copy claim form and bundle by post or in accordance with the drop box procedure set out at paragraph 7.8.2 of the Administrative Court’s Judicial Review Guide, but the preference is for electronic filing.</w:t>
      </w:r>
    </w:p>
  </w:footnote>
  <w:footnote w:id="15">
    <w:p w14:paraId="7065FA9D" w14:textId="5A4EA52E" w:rsidR="00196A96" w:rsidRPr="00CA2C15" w:rsidRDefault="00196A96">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HMCTS’ guidance for professional users on using the Document Upload Centre is available here: </w:t>
      </w:r>
      <w:hyperlink r:id="rId10" w:history="1">
        <w:r w:rsidRPr="00CA2C15">
          <w:rPr>
            <w:rStyle w:val="Hyperlink"/>
            <w:rFonts w:ascii="Calibri" w:hAnsi="Calibri" w:cs="Calibri"/>
            <w:sz w:val="18"/>
            <w:szCs w:val="18"/>
          </w:rPr>
          <w:t>https://adminlaw.org.uk/wp-content/uploads/Document-Upload-Centre-user-guidance.pdf</w:t>
        </w:r>
      </w:hyperlink>
      <w:r w:rsidRPr="00CA2C15">
        <w:rPr>
          <w:rFonts w:ascii="Calibri" w:hAnsi="Calibri" w:cs="Calibri"/>
          <w:sz w:val="18"/>
          <w:szCs w:val="18"/>
        </w:rPr>
        <w:t xml:space="preserve"> </w:t>
      </w:r>
    </w:p>
  </w:footnote>
  <w:footnote w:id="16">
    <w:p w14:paraId="13922A4F" w14:textId="0AD6A914" w:rsidR="00997FFA" w:rsidRPr="00CA2C15" w:rsidRDefault="00997FFA">
      <w:pPr>
        <w:pStyle w:val="FootnoteText"/>
        <w:rPr>
          <w:rFonts w:ascii="Calibri" w:hAnsi="Calibri" w:cs="Calibri"/>
        </w:rPr>
      </w:pPr>
      <w:r w:rsidRPr="00CA2C15">
        <w:rPr>
          <w:rStyle w:val="FootnoteReference"/>
          <w:rFonts w:ascii="Calibri" w:hAnsi="Calibri" w:cs="Calibri"/>
        </w:rPr>
        <w:footnoteRef/>
      </w:r>
      <w:r w:rsidRPr="00CA2C15">
        <w:rPr>
          <w:rFonts w:ascii="Calibri" w:hAnsi="Calibri" w:cs="Calibri"/>
        </w:rPr>
        <w:t xml:space="preserve"> </w:t>
      </w:r>
      <w:r w:rsidR="007A45AC" w:rsidRPr="00CA2C15">
        <w:rPr>
          <w:rFonts w:ascii="Calibri" w:hAnsi="Calibri" w:cs="Calibri"/>
        </w:rPr>
        <w:t xml:space="preserve">Annex 9 of </w:t>
      </w:r>
      <w:hyperlink r:id="rId11" w:history="1">
        <w:r w:rsidR="007A45AC" w:rsidRPr="00CA2C15">
          <w:rPr>
            <w:rStyle w:val="Hyperlink"/>
            <w:rFonts w:ascii="Calibri" w:eastAsia="Arial" w:hAnsi="Calibri" w:cs="Calibri"/>
          </w:rPr>
          <w:t>The Administrative Court Judicial Review Guide</w:t>
        </w:r>
      </w:hyperlink>
    </w:p>
  </w:footnote>
  <w:footnote w:id="17">
    <w:p w14:paraId="1E25E1CA" w14:textId="43AB0078" w:rsidR="006101D9" w:rsidRPr="00CA2C15" w:rsidRDefault="006101D9">
      <w:pPr>
        <w:pStyle w:val="FootnoteText"/>
        <w:rPr>
          <w:rFonts w:ascii="Calibri" w:hAnsi="Calibri" w:cs="Calibri"/>
          <w:lang w:val="en-GB"/>
        </w:rPr>
      </w:pPr>
      <w:r w:rsidRPr="00CA2C15">
        <w:rPr>
          <w:rStyle w:val="FootnoteReference"/>
          <w:rFonts w:ascii="Calibri" w:hAnsi="Calibri" w:cs="Calibri"/>
        </w:rPr>
        <w:footnoteRef/>
      </w:r>
      <w:r w:rsidRPr="00CA2C15">
        <w:rPr>
          <w:rFonts w:ascii="Calibri" w:hAnsi="Calibri" w:cs="Calibri"/>
        </w:rPr>
        <w:t xml:space="preserve"> </w:t>
      </w:r>
      <w:r w:rsidRPr="00CA2C15">
        <w:rPr>
          <w:rFonts w:ascii="Calibri" w:hAnsi="Calibri" w:cs="Calibri"/>
          <w:sz w:val="18"/>
          <w:szCs w:val="18"/>
          <w:lang w:val="en-GB"/>
        </w:rPr>
        <w:t>See also section 16.2 of the Administrative Court Guide.</w:t>
      </w:r>
    </w:p>
  </w:footnote>
  <w:footnote w:id="18">
    <w:p w14:paraId="742C3ED0" w14:textId="4FE69B38" w:rsidR="00F02957" w:rsidRPr="00CA2C15" w:rsidRDefault="00F02957">
      <w:pPr>
        <w:pStyle w:val="FootnoteText"/>
        <w:rPr>
          <w:rFonts w:ascii="Calibri" w:hAnsi="Calibri" w:cs="Calibri"/>
          <w:sz w:val="18"/>
          <w:szCs w:val="18"/>
        </w:rPr>
      </w:pPr>
      <w:r w:rsidRPr="00CA2C15">
        <w:rPr>
          <w:rStyle w:val="FootnoteReference"/>
          <w:rFonts w:ascii="Calibri" w:hAnsi="Calibri" w:cs="Calibri"/>
          <w:sz w:val="18"/>
          <w:szCs w:val="18"/>
        </w:rPr>
        <w:footnoteRef/>
      </w:r>
      <w:r w:rsidRPr="00CA2C15">
        <w:rPr>
          <w:rFonts w:ascii="Calibri" w:hAnsi="Calibri" w:cs="Calibri"/>
          <w:sz w:val="18"/>
          <w:szCs w:val="18"/>
        </w:rPr>
        <w:t xml:space="preserve"> https://www.gov.uk/government/publications/form-kbd-oha-out-of-hours-application-kings-bench-division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3785" w14:textId="6F0A3D21" w:rsidR="007A1904" w:rsidRDefault="004A6CFB">
    <w:pPr>
      <w:pStyle w:val="Header"/>
    </w:pPr>
    <w:r>
      <w:rPr>
        <w:rFonts w:ascii="Arial" w:eastAsia="Arial" w:hAnsi="Arial" w:cs="Arial"/>
        <w:b/>
        <w:noProof/>
        <w:color w:val="000000"/>
        <w:sz w:val="24"/>
        <w:szCs w:val="24"/>
      </w:rPr>
      <w:drawing>
        <wp:anchor distT="0" distB="0" distL="114300" distR="114300" simplePos="0" relativeHeight="251658240" behindDoc="0" locked="0" layoutInCell="1" allowOverlap="1" wp14:anchorId="76D81472" wp14:editId="0039BE5D">
          <wp:simplePos x="0" y="0"/>
          <wp:positionH relativeFrom="column">
            <wp:posOffset>5706745</wp:posOffset>
          </wp:positionH>
          <wp:positionV relativeFrom="paragraph">
            <wp:posOffset>-306070</wp:posOffset>
          </wp:positionV>
          <wp:extent cx="745200" cy="586800"/>
          <wp:effectExtent l="0" t="0" r="0" b="3810"/>
          <wp:wrapNone/>
          <wp:docPr id="1722270972" name="Picture" descr="A blue cube with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1762667007" name="Picture" descr="A blue cube with black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5200" cy="58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39DA"/>
    <w:multiLevelType w:val="hybridMultilevel"/>
    <w:tmpl w:val="5A46CB62"/>
    <w:lvl w:ilvl="0" w:tplc="38E4E82A">
      <w:start w:val="1"/>
      <w:numFmt w:val="decimal"/>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 w15:restartNumberingAfterBreak="0">
    <w:nsid w:val="01927276"/>
    <w:multiLevelType w:val="multilevel"/>
    <w:tmpl w:val="A1BC5526"/>
    <w:lvl w:ilvl="0">
      <w:start w:val="1"/>
      <w:numFmt w:val="lowerRoman"/>
      <w:lvlText w:val="(%1)"/>
      <w:lvlJc w:val="left"/>
      <w:pPr>
        <w:tabs>
          <w:tab w:val="left" w:pos="2646"/>
        </w:tabs>
      </w:pPr>
      <w:rPr>
        <w:rFonts w:ascii="Arial" w:eastAsia="Arial" w:hAnsi="Arial"/>
        <w:i/>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351405"/>
    <w:multiLevelType w:val="hybridMultilevel"/>
    <w:tmpl w:val="54D4CB7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BA4416"/>
    <w:multiLevelType w:val="multilevel"/>
    <w:tmpl w:val="F694172A"/>
    <w:lvl w:ilvl="0">
      <w:start w:val="1"/>
      <w:numFmt w:val="lowerLetter"/>
      <w:lvlText w:val="(%1)"/>
      <w:lvlJc w:val="left"/>
      <w:pPr>
        <w:tabs>
          <w:tab w:val="num" w:pos="1835"/>
        </w:tabs>
        <w:ind w:left="1927" w:hanging="680"/>
      </w:pPr>
      <w:rPr>
        <w:rFonts w:ascii="Arial" w:hAnsi="Arial" w:hint="default"/>
        <w:color w:val="000000"/>
        <w:spacing w:val="0"/>
        <w:w w:val="100"/>
        <w:sz w:val="24"/>
        <w:vertAlign w:val="baseline"/>
        <w:lang w:val="en-US"/>
      </w:rPr>
    </w:lvl>
    <w:lvl w:ilvl="1">
      <w:numFmt w:val="decimal"/>
      <w:lvlText w:val="%2"/>
      <w:lvlJc w:val="left"/>
      <w:pPr>
        <w:ind w:left="1547" w:firstLine="0"/>
      </w:pPr>
      <w:rPr>
        <w:rFonts w:hint="default"/>
      </w:rPr>
    </w:lvl>
    <w:lvl w:ilvl="2">
      <w:numFmt w:val="decimal"/>
      <w:lvlText w:val="%3"/>
      <w:lvlJc w:val="left"/>
      <w:pPr>
        <w:ind w:left="1547" w:firstLine="0"/>
      </w:pPr>
      <w:rPr>
        <w:rFonts w:hint="default"/>
      </w:rPr>
    </w:lvl>
    <w:lvl w:ilvl="3">
      <w:numFmt w:val="decimal"/>
      <w:lvlText w:val=""/>
      <w:lvlJc w:val="left"/>
      <w:pPr>
        <w:ind w:left="1547" w:firstLine="0"/>
      </w:pPr>
      <w:rPr>
        <w:rFonts w:hint="default"/>
      </w:rPr>
    </w:lvl>
    <w:lvl w:ilvl="4">
      <w:numFmt w:val="decimal"/>
      <w:lvlText w:val=""/>
      <w:lvlJc w:val="left"/>
      <w:pPr>
        <w:ind w:left="1547" w:firstLine="0"/>
      </w:pPr>
      <w:rPr>
        <w:rFonts w:hint="default"/>
      </w:rPr>
    </w:lvl>
    <w:lvl w:ilvl="5">
      <w:numFmt w:val="decimal"/>
      <w:lvlText w:val=""/>
      <w:lvlJc w:val="left"/>
      <w:pPr>
        <w:ind w:left="1547" w:firstLine="0"/>
      </w:pPr>
      <w:rPr>
        <w:rFonts w:hint="default"/>
      </w:rPr>
    </w:lvl>
    <w:lvl w:ilvl="6">
      <w:numFmt w:val="decimal"/>
      <w:lvlText w:val=""/>
      <w:lvlJc w:val="left"/>
      <w:pPr>
        <w:ind w:left="1547" w:firstLine="0"/>
      </w:pPr>
      <w:rPr>
        <w:rFonts w:hint="default"/>
      </w:rPr>
    </w:lvl>
    <w:lvl w:ilvl="7">
      <w:numFmt w:val="decimal"/>
      <w:lvlText w:val=""/>
      <w:lvlJc w:val="left"/>
      <w:pPr>
        <w:ind w:left="1547" w:firstLine="0"/>
      </w:pPr>
      <w:rPr>
        <w:rFonts w:hint="default"/>
      </w:rPr>
    </w:lvl>
    <w:lvl w:ilvl="8">
      <w:numFmt w:val="decimal"/>
      <w:lvlText w:val=""/>
      <w:lvlJc w:val="left"/>
      <w:pPr>
        <w:ind w:left="1547" w:firstLine="0"/>
      </w:pPr>
      <w:rPr>
        <w:rFonts w:hint="default"/>
      </w:rPr>
    </w:lvl>
  </w:abstractNum>
  <w:abstractNum w:abstractNumId="4" w15:restartNumberingAfterBreak="0">
    <w:nsid w:val="072254DA"/>
    <w:multiLevelType w:val="hybridMultilevel"/>
    <w:tmpl w:val="87F2BE12"/>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5" w15:restartNumberingAfterBreak="0">
    <w:nsid w:val="091F1441"/>
    <w:multiLevelType w:val="hybridMultilevel"/>
    <w:tmpl w:val="8F262078"/>
    <w:lvl w:ilvl="0" w:tplc="67604034">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AF46E10"/>
    <w:multiLevelType w:val="multilevel"/>
    <w:tmpl w:val="D88E6B2A"/>
    <w:lvl w:ilvl="0">
      <w:start w:val="1"/>
      <w:numFmt w:val="decimal"/>
      <w:lvlText w:val="(%1)"/>
      <w:lvlJc w:val="left"/>
      <w:pPr>
        <w:ind w:left="1440" w:hanging="360"/>
      </w:pPr>
      <w:rPr>
        <w:rFonts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0C414FD1"/>
    <w:multiLevelType w:val="hybridMultilevel"/>
    <w:tmpl w:val="0C72AD48"/>
    <w:lvl w:ilvl="0" w:tplc="0809000F">
      <w:start w:val="1"/>
      <w:numFmt w:val="decimal"/>
      <w:lvlText w:val="%1."/>
      <w:lvlJc w:val="left"/>
      <w:pPr>
        <w:ind w:left="1504" w:hanging="360"/>
      </w:p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8" w15:restartNumberingAfterBreak="0">
    <w:nsid w:val="0F9C7EC5"/>
    <w:multiLevelType w:val="hybridMultilevel"/>
    <w:tmpl w:val="3F2A8D7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18371CE"/>
    <w:multiLevelType w:val="hybridMultilevel"/>
    <w:tmpl w:val="D1286C24"/>
    <w:lvl w:ilvl="0" w:tplc="38E4E82A">
      <w:start w:val="1"/>
      <w:numFmt w:val="decimal"/>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0" w15:restartNumberingAfterBreak="0">
    <w:nsid w:val="119941FC"/>
    <w:multiLevelType w:val="hybridMultilevel"/>
    <w:tmpl w:val="61EE5B40"/>
    <w:lvl w:ilvl="0" w:tplc="6760403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1E6A0F4F"/>
    <w:multiLevelType w:val="multilevel"/>
    <w:tmpl w:val="F138B58E"/>
    <w:lvl w:ilvl="0">
      <w:start w:val="1"/>
      <w:numFmt w:val="lowerRoman"/>
      <w:lvlText w:val="%1."/>
      <w:lvlJc w:val="righ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12" w15:restartNumberingAfterBreak="0">
    <w:nsid w:val="1EA6062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02D0406"/>
    <w:multiLevelType w:val="hybridMultilevel"/>
    <w:tmpl w:val="D1D464AC"/>
    <w:lvl w:ilvl="0" w:tplc="08090001">
      <w:start w:val="1"/>
      <w:numFmt w:val="bullet"/>
      <w:lvlText w:val=""/>
      <w:lvlJc w:val="left"/>
      <w:pPr>
        <w:ind w:left="1211" w:hanging="360"/>
      </w:pPr>
      <w:rPr>
        <w:rFonts w:ascii="Symbol" w:hAnsi="Symbol"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4" w15:restartNumberingAfterBreak="0">
    <w:nsid w:val="249B1541"/>
    <w:multiLevelType w:val="hybridMultilevel"/>
    <w:tmpl w:val="33DC0E3E"/>
    <w:lvl w:ilvl="0" w:tplc="0809000F">
      <w:start w:val="1"/>
      <w:numFmt w:val="decimal"/>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5" w15:restartNumberingAfterBreak="0">
    <w:nsid w:val="28976F9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6A112B"/>
    <w:multiLevelType w:val="hybridMultilevel"/>
    <w:tmpl w:val="9444961C"/>
    <w:lvl w:ilvl="0" w:tplc="679C3D24">
      <w:start w:val="4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102A68"/>
    <w:multiLevelType w:val="hybridMultilevel"/>
    <w:tmpl w:val="658E5060"/>
    <w:lvl w:ilvl="0" w:tplc="99E679F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EC327F9"/>
    <w:multiLevelType w:val="hybridMultilevel"/>
    <w:tmpl w:val="8552FF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D56C1"/>
    <w:multiLevelType w:val="hybridMultilevel"/>
    <w:tmpl w:val="F9D8851A"/>
    <w:lvl w:ilvl="0" w:tplc="08090001">
      <w:start w:val="1"/>
      <w:numFmt w:val="bullet"/>
      <w:lvlText w:val=""/>
      <w:lvlJc w:val="left"/>
      <w:pPr>
        <w:ind w:left="3024" w:hanging="360"/>
      </w:pPr>
      <w:rPr>
        <w:rFonts w:ascii="Symbol" w:hAnsi="Symbol" w:hint="default"/>
      </w:rPr>
    </w:lvl>
    <w:lvl w:ilvl="1" w:tplc="08090003" w:tentative="1">
      <w:start w:val="1"/>
      <w:numFmt w:val="bullet"/>
      <w:lvlText w:val="o"/>
      <w:lvlJc w:val="left"/>
      <w:pPr>
        <w:ind w:left="3744" w:hanging="360"/>
      </w:pPr>
      <w:rPr>
        <w:rFonts w:ascii="Courier New" w:hAnsi="Courier New" w:cs="Courier New" w:hint="default"/>
      </w:rPr>
    </w:lvl>
    <w:lvl w:ilvl="2" w:tplc="08090005" w:tentative="1">
      <w:start w:val="1"/>
      <w:numFmt w:val="bullet"/>
      <w:lvlText w:val=""/>
      <w:lvlJc w:val="left"/>
      <w:pPr>
        <w:ind w:left="4464" w:hanging="360"/>
      </w:pPr>
      <w:rPr>
        <w:rFonts w:ascii="Wingdings" w:hAnsi="Wingdings" w:hint="default"/>
      </w:rPr>
    </w:lvl>
    <w:lvl w:ilvl="3" w:tplc="08090001" w:tentative="1">
      <w:start w:val="1"/>
      <w:numFmt w:val="bullet"/>
      <w:lvlText w:val=""/>
      <w:lvlJc w:val="left"/>
      <w:pPr>
        <w:ind w:left="5184" w:hanging="360"/>
      </w:pPr>
      <w:rPr>
        <w:rFonts w:ascii="Symbol" w:hAnsi="Symbol" w:hint="default"/>
      </w:rPr>
    </w:lvl>
    <w:lvl w:ilvl="4" w:tplc="08090003" w:tentative="1">
      <w:start w:val="1"/>
      <w:numFmt w:val="bullet"/>
      <w:lvlText w:val="o"/>
      <w:lvlJc w:val="left"/>
      <w:pPr>
        <w:ind w:left="5904" w:hanging="360"/>
      </w:pPr>
      <w:rPr>
        <w:rFonts w:ascii="Courier New" w:hAnsi="Courier New" w:cs="Courier New" w:hint="default"/>
      </w:rPr>
    </w:lvl>
    <w:lvl w:ilvl="5" w:tplc="08090005" w:tentative="1">
      <w:start w:val="1"/>
      <w:numFmt w:val="bullet"/>
      <w:lvlText w:val=""/>
      <w:lvlJc w:val="left"/>
      <w:pPr>
        <w:ind w:left="6624" w:hanging="360"/>
      </w:pPr>
      <w:rPr>
        <w:rFonts w:ascii="Wingdings" w:hAnsi="Wingdings" w:hint="default"/>
      </w:rPr>
    </w:lvl>
    <w:lvl w:ilvl="6" w:tplc="08090001" w:tentative="1">
      <w:start w:val="1"/>
      <w:numFmt w:val="bullet"/>
      <w:lvlText w:val=""/>
      <w:lvlJc w:val="left"/>
      <w:pPr>
        <w:ind w:left="7344" w:hanging="360"/>
      </w:pPr>
      <w:rPr>
        <w:rFonts w:ascii="Symbol" w:hAnsi="Symbol" w:hint="default"/>
      </w:rPr>
    </w:lvl>
    <w:lvl w:ilvl="7" w:tplc="08090003" w:tentative="1">
      <w:start w:val="1"/>
      <w:numFmt w:val="bullet"/>
      <w:lvlText w:val="o"/>
      <w:lvlJc w:val="left"/>
      <w:pPr>
        <w:ind w:left="8064" w:hanging="360"/>
      </w:pPr>
      <w:rPr>
        <w:rFonts w:ascii="Courier New" w:hAnsi="Courier New" w:cs="Courier New" w:hint="default"/>
      </w:rPr>
    </w:lvl>
    <w:lvl w:ilvl="8" w:tplc="08090005" w:tentative="1">
      <w:start w:val="1"/>
      <w:numFmt w:val="bullet"/>
      <w:lvlText w:val=""/>
      <w:lvlJc w:val="left"/>
      <w:pPr>
        <w:ind w:left="8784" w:hanging="360"/>
      </w:pPr>
      <w:rPr>
        <w:rFonts w:ascii="Wingdings" w:hAnsi="Wingdings" w:hint="default"/>
      </w:rPr>
    </w:lvl>
  </w:abstractNum>
  <w:abstractNum w:abstractNumId="20" w15:restartNumberingAfterBreak="0">
    <w:nsid w:val="34C408AD"/>
    <w:multiLevelType w:val="multilevel"/>
    <w:tmpl w:val="F694172A"/>
    <w:lvl w:ilvl="0">
      <w:start w:val="1"/>
      <w:numFmt w:val="lowerLetter"/>
      <w:lvlText w:val="(%1)"/>
      <w:lvlJc w:val="left"/>
      <w:pPr>
        <w:tabs>
          <w:tab w:val="num" w:pos="945"/>
        </w:tabs>
        <w:ind w:left="1037" w:hanging="680"/>
      </w:pPr>
      <w:rPr>
        <w:rFonts w:ascii="Arial" w:hAnsi="Arial" w:hint="default"/>
        <w:color w:val="000000"/>
        <w:spacing w:val="0"/>
        <w:w w:val="100"/>
        <w:sz w:val="24"/>
        <w:vertAlign w:val="baseline"/>
        <w:lang w:val="en-US"/>
      </w:rPr>
    </w:lvl>
    <w:lvl w:ilvl="1">
      <w:numFmt w:val="decimal"/>
      <w:lvlText w:val="%2"/>
      <w:lvlJc w:val="left"/>
      <w:pPr>
        <w:ind w:left="657" w:firstLine="0"/>
      </w:pPr>
      <w:rPr>
        <w:rFonts w:hint="default"/>
      </w:rPr>
    </w:lvl>
    <w:lvl w:ilvl="2">
      <w:numFmt w:val="decimal"/>
      <w:lvlText w:val="%3"/>
      <w:lvlJc w:val="left"/>
      <w:pPr>
        <w:ind w:left="657" w:firstLine="0"/>
      </w:pPr>
      <w:rPr>
        <w:rFonts w:hint="default"/>
      </w:rPr>
    </w:lvl>
    <w:lvl w:ilvl="3">
      <w:numFmt w:val="decimal"/>
      <w:lvlText w:val=""/>
      <w:lvlJc w:val="left"/>
      <w:pPr>
        <w:ind w:left="657" w:firstLine="0"/>
      </w:pPr>
      <w:rPr>
        <w:rFonts w:hint="default"/>
      </w:rPr>
    </w:lvl>
    <w:lvl w:ilvl="4">
      <w:numFmt w:val="decimal"/>
      <w:lvlText w:val=""/>
      <w:lvlJc w:val="left"/>
      <w:pPr>
        <w:ind w:left="657" w:firstLine="0"/>
      </w:pPr>
      <w:rPr>
        <w:rFonts w:hint="default"/>
      </w:rPr>
    </w:lvl>
    <w:lvl w:ilvl="5">
      <w:numFmt w:val="decimal"/>
      <w:lvlText w:val=""/>
      <w:lvlJc w:val="left"/>
      <w:pPr>
        <w:ind w:left="657" w:firstLine="0"/>
      </w:pPr>
      <w:rPr>
        <w:rFonts w:hint="default"/>
      </w:rPr>
    </w:lvl>
    <w:lvl w:ilvl="6">
      <w:numFmt w:val="decimal"/>
      <w:lvlText w:val=""/>
      <w:lvlJc w:val="left"/>
      <w:pPr>
        <w:ind w:left="657" w:firstLine="0"/>
      </w:pPr>
      <w:rPr>
        <w:rFonts w:hint="default"/>
      </w:rPr>
    </w:lvl>
    <w:lvl w:ilvl="7">
      <w:numFmt w:val="decimal"/>
      <w:lvlText w:val=""/>
      <w:lvlJc w:val="left"/>
      <w:pPr>
        <w:ind w:left="657" w:firstLine="0"/>
      </w:pPr>
      <w:rPr>
        <w:rFonts w:hint="default"/>
      </w:rPr>
    </w:lvl>
    <w:lvl w:ilvl="8">
      <w:numFmt w:val="decimal"/>
      <w:lvlText w:val=""/>
      <w:lvlJc w:val="left"/>
      <w:pPr>
        <w:ind w:left="657" w:firstLine="0"/>
      </w:pPr>
      <w:rPr>
        <w:rFonts w:hint="default"/>
      </w:rPr>
    </w:lvl>
  </w:abstractNum>
  <w:abstractNum w:abstractNumId="21" w15:restartNumberingAfterBreak="0">
    <w:nsid w:val="35930A2F"/>
    <w:multiLevelType w:val="hybridMultilevel"/>
    <w:tmpl w:val="D20C941A"/>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2" w15:restartNumberingAfterBreak="0">
    <w:nsid w:val="3AE109AA"/>
    <w:multiLevelType w:val="hybridMultilevel"/>
    <w:tmpl w:val="D38A0776"/>
    <w:lvl w:ilvl="0" w:tplc="E0745228">
      <w:start w:val="153"/>
      <w:numFmt w:val="decimal"/>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902B5"/>
    <w:multiLevelType w:val="hybridMultilevel"/>
    <w:tmpl w:val="F4DEABEA"/>
    <w:lvl w:ilvl="0" w:tplc="38E4E82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3BC93B1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187161"/>
    <w:multiLevelType w:val="multilevel"/>
    <w:tmpl w:val="F9A275C2"/>
    <w:lvl w:ilvl="0">
      <w:start w:val="1"/>
      <w:numFmt w:val="decimal"/>
      <w:lvlText w:val="%1."/>
      <w:lvlJc w:val="left"/>
      <w:pPr>
        <w:ind w:left="510" w:hanging="283"/>
      </w:pPr>
      <w:rPr>
        <w:rFonts w:hint="default"/>
        <w:b w:val="0"/>
        <w:bCs/>
      </w:rPr>
    </w:lvl>
    <w:lvl w:ilvl="1">
      <w:start w:val="1"/>
      <w:numFmt w:val="bullet"/>
      <w:lvlText w:val=""/>
      <w:lvlJc w:val="left"/>
      <w:pPr>
        <w:ind w:left="1511" w:hanging="360"/>
      </w:pPr>
      <w:rPr>
        <w:rFonts w:ascii="Symbol" w:hAnsi="Symbol" w:hint="default"/>
      </w:rPr>
    </w:lvl>
    <w:lvl w:ilvl="2">
      <w:start w:val="1"/>
      <w:numFmt w:val="lowerRoman"/>
      <w:lvlText w:val="%3."/>
      <w:lvlJc w:val="right"/>
      <w:pPr>
        <w:ind w:left="2358" w:hanging="283"/>
      </w:pPr>
      <w:rPr>
        <w:rFonts w:hint="default"/>
      </w:rPr>
    </w:lvl>
    <w:lvl w:ilvl="3">
      <w:start w:val="1"/>
      <w:numFmt w:val="decimal"/>
      <w:lvlText w:val="%4."/>
      <w:lvlJc w:val="left"/>
      <w:pPr>
        <w:ind w:left="3282" w:hanging="283"/>
      </w:pPr>
      <w:rPr>
        <w:rFonts w:hint="default"/>
      </w:rPr>
    </w:lvl>
    <w:lvl w:ilvl="4">
      <w:start w:val="1"/>
      <w:numFmt w:val="lowerLetter"/>
      <w:lvlText w:val="%5."/>
      <w:lvlJc w:val="left"/>
      <w:pPr>
        <w:ind w:left="4206" w:hanging="283"/>
      </w:pPr>
      <w:rPr>
        <w:rFonts w:hint="default"/>
      </w:rPr>
    </w:lvl>
    <w:lvl w:ilvl="5">
      <w:start w:val="1"/>
      <w:numFmt w:val="lowerRoman"/>
      <w:lvlText w:val="%6."/>
      <w:lvlJc w:val="right"/>
      <w:pPr>
        <w:ind w:left="5130" w:hanging="283"/>
      </w:pPr>
      <w:rPr>
        <w:rFonts w:hint="default"/>
      </w:rPr>
    </w:lvl>
    <w:lvl w:ilvl="6">
      <w:start w:val="1"/>
      <w:numFmt w:val="decimal"/>
      <w:lvlText w:val="%7."/>
      <w:lvlJc w:val="left"/>
      <w:pPr>
        <w:ind w:left="6054" w:hanging="283"/>
      </w:pPr>
      <w:rPr>
        <w:rFonts w:hint="default"/>
      </w:rPr>
    </w:lvl>
    <w:lvl w:ilvl="7">
      <w:start w:val="1"/>
      <w:numFmt w:val="lowerLetter"/>
      <w:lvlText w:val="%8."/>
      <w:lvlJc w:val="left"/>
      <w:pPr>
        <w:ind w:left="6978" w:hanging="283"/>
      </w:pPr>
      <w:rPr>
        <w:rFonts w:hint="default"/>
      </w:rPr>
    </w:lvl>
    <w:lvl w:ilvl="8">
      <w:start w:val="1"/>
      <w:numFmt w:val="lowerRoman"/>
      <w:lvlText w:val="%9."/>
      <w:lvlJc w:val="right"/>
      <w:pPr>
        <w:ind w:left="7902" w:hanging="283"/>
      </w:pPr>
      <w:rPr>
        <w:rFonts w:hint="default"/>
      </w:rPr>
    </w:lvl>
  </w:abstractNum>
  <w:abstractNum w:abstractNumId="26" w15:restartNumberingAfterBreak="0">
    <w:nsid w:val="413605F7"/>
    <w:multiLevelType w:val="multilevel"/>
    <w:tmpl w:val="EEC0E99E"/>
    <w:lvl w:ilvl="0">
      <w:start w:val="7"/>
      <w:numFmt w:val="decimal"/>
      <w:lvlText w:val="(%1)"/>
      <w:lvlJc w:val="left"/>
      <w:pPr>
        <w:tabs>
          <w:tab w:val="left" w:pos="1296"/>
        </w:tabs>
      </w:pPr>
      <w:rPr>
        <w:rFonts w:ascii="Arial" w:eastAsia="Arial" w:hAnsi="Arial"/>
        <w:i/>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4390FED"/>
    <w:multiLevelType w:val="hybridMultilevel"/>
    <w:tmpl w:val="41F6E0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46915E74"/>
    <w:multiLevelType w:val="hybridMultilevel"/>
    <w:tmpl w:val="481235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6D929BA"/>
    <w:multiLevelType w:val="hybridMultilevel"/>
    <w:tmpl w:val="68C6065E"/>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0" w15:restartNumberingAfterBreak="0">
    <w:nsid w:val="4FCE5942"/>
    <w:multiLevelType w:val="multilevel"/>
    <w:tmpl w:val="E0907A62"/>
    <w:lvl w:ilvl="0">
      <w:start w:val="1"/>
      <w:numFmt w:val="lowerLetter"/>
      <w:lvlText w:val="(%1)"/>
      <w:lvlJc w:val="left"/>
      <w:pPr>
        <w:tabs>
          <w:tab w:val="num" w:pos="1155"/>
        </w:tabs>
        <w:ind w:left="1264" w:hanging="397"/>
      </w:pPr>
      <w:rPr>
        <w:rFonts w:ascii="Arial" w:hAnsi="Arial" w:hint="default"/>
        <w:color w:val="000000"/>
        <w:spacing w:val="0"/>
        <w:w w:val="100"/>
        <w:sz w:val="24"/>
        <w:vertAlign w:val="baseline"/>
        <w:lang w:val="en-US"/>
      </w:rPr>
    </w:lvl>
    <w:lvl w:ilvl="1">
      <w:numFmt w:val="decimal"/>
      <w:lvlText w:val="%2"/>
      <w:lvlJc w:val="left"/>
      <w:pPr>
        <w:ind w:left="867" w:firstLine="0"/>
      </w:pPr>
      <w:rPr>
        <w:rFonts w:hint="default"/>
      </w:rPr>
    </w:lvl>
    <w:lvl w:ilvl="2">
      <w:numFmt w:val="decimal"/>
      <w:lvlText w:val="%3"/>
      <w:lvlJc w:val="left"/>
      <w:pPr>
        <w:ind w:left="867" w:firstLine="0"/>
      </w:pPr>
      <w:rPr>
        <w:rFonts w:hint="default"/>
      </w:rPr>
    </w:lvl>
    <w:lvl w:ilvl="3">
      <w:numFmt w:val="decimal"/>
      <w:lvlText w:val=""/>
      <w:lvlJc w:val="left"/>
      <w:pPr>
        <w:ind w:left="867" w:firstLine="0"/>
      </w:pPr>
      <w:rPr>
        <w:rFonts w:hint="default"/>
      </w:rPr>
    </w:lvl>
    <w:lvl w:ilvl="4">
      <w:numFmt w:val="decimal"/>
      <w:lvlText w:val=""/>
      <w:lvlJc w:val="left"/>
      <w:pPr>
        <w:ind w:left="867" w:firstLine="0"/>
      </w:pPr>
      <w:rPr>
        <w:rFonts w:hint="default"/>
      </w:rPr>
    </w:lvl>
    <w:lvl w:ilvl="5">
      <w:numFmt w:val="decimal"/>
      <w:lvlText w:val=""/>
      <w:lvlJc w:val="left"/>
      <w:pPr>
        <w:ind w:left="867" w:firstLine="0"/>
      </w:pPr>
      <w:rPr>
        <w:rFonts w:hint="default"/>
      </w:rPr>
    </w:lvl>
    <w:lvl w:ilvl="6">
      <w:numFmt w:val="decimal"/>
      <w:lvlText w:val=""/>
      <w:lvlJc w:val="left"/>
      <w:pPr>
        <w:ind w:left="867" w:firstLine="0"/>
      </w:pPr>
      <w:rPr>
        <w:rFonts w:hint="default"/>
      </w:rPr>
    </w:lvl>
    <w:lvl w:ilvl="7">
      <w:numFmt w:val="decimal"/>
      <w:lvlText w:val=""/>
      <w:lvlJc w:val="left"/>
      <w:pPr>
        <w:ind w:left="867" w:firstLine="0"/>
      </w:pPr>
      <w:rPr>
        <w:rFonts w:hint="default"/>
      </w:rPr>
    </w:lvl>
    <w:lvl w:ilvl="8">
      <w:numFmt w:val="decimal"/>
      <w:lvlText w:val=""/>
      <w:lvlJc w:val="left"/>
      <w:pPr>
        <w:ind w:left="867" w:firstLine="0"/>
      </w:pPr>
      <w:rPr>
        <w:rFonts w:hint="default"/>
      </w:rPr>
    </w:lvl>
  </w:abstractNum>
  <w:abstractNum w:abstractNumId="31" w15:restartNumberingAfterBreak="0">
    <w:nsid w:val="512C5B04"/>
    <w:multiLevelType w:val="multilevel"/>
    <w:tmpl w:val="DEFC05B6"/>
    <w:lvl w:ilvl="0">
      <w:start w:val="1"/>
      <w:numFmt w:val="lowerLetter"/>
      <w:lvlText w:val="(%1)"/>
      <w:lvlJc w:val="left"/>
      <w:pPr>
        <w:tabs>
          <w:tab w:val="left" w:pos="288"/>
        </w:tabs>
      </w:pPr>
      <w:rPr>
        <w:rFonts w:ascii="Arial" w:eastAsia="Arial" w:hAnsi="Arial"/>
        <w:i/>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8E20C73"/>
    <w:multiLevelType w:val="multilevel"/>
    <w:tmpl w:val="F9ACDE88"/>
    <w:lvl w:ilvl="0">
      <w:start w:val="1"/>
      <w:numFmt w:val="lowerLetter"/>
      <w:lvlText w:val="(%1)"/>
      <w:lvlJc w:val="left"/>
      <w:pPr>
        <w:tabs>
          <w:tab w:val="num" w:pos="1835"/>
        </w:tabs>
        <w:ind w:left="1814" w:hanging="567"/>
      </w:pPr>
      <w:rPr>
        <w:rFonts w:ascii="Arial" w:hAnsi="Arial" w:hint="default"/>
        <w:color w:val="000000"/>
        <w:spacing w:val="0"/>
        <w:w w:val="100"/>
        <w:sz w:val="24"/>
        <w:vertAlign w:val="baseline"/>
        <w:lang w:val="en-US"/>
      </w:rPr>
    </w:lvl>
    <w:lvl w:ilvl="1">
      <w:numFmt w:val="decimal"/>
      <w:lvlText w:val="%2"/>
      <w:lvlJc w:val="left"/>
      <w:pPr>
        <w:ind w:left="1547" w:firstLine="0"/>
      </w:pPr>
      <w:rPr>
        <w:rFonts w:hint="default"/>
      </w:rPr>
    </w:lvl>
    <w:lvl w:ilvl="2">
      <w:numFmt w:val="decimal"/>
      <w:lvlText w:val="%3"/>
      <w:lvlJc w:val="left"/>
      <w:pPr>
        <w:ind w:left="1547" w:firstLine="0"/>
      </w:pPr>
      <w:rPr>
        <w:rFonts w:hint="default"/>
      </w:rPr>
    </w:lvl>
    <w:lvl w:ilvl="3">
      <w:numFmt w:val="decimal"/>
      <w:lvlText w:val=""/>
      <w:lvlJc w:val="left"/>
      <w:pPr>
        <w:ind w:left="1547" w:firstLine="0"/>
      </w:pPr>
      <w:rPr>
        <w:rFonts w:hint="default"/>
      </w:rPr>
    </w:lvl>
    <w:lvl w:ilvl="4">
      <w:numFmt w:val="decimal"/>
      <w:lvlText w:val=""/>
      <w:lvlJc w:val="left"/>
      <w:pPr>
        <w:ind w:left="1547" w:firstLine="0"/>
      </w:pPr>
      <w:rPr>
        <w:rFonts w:hint="default"/>
      </w:rPr>
    </w:lvl>
    <w:lvl w:ilvl="5">
      <w:numFmt w:val="decimal"/>
      <w:lvlText w:val=""/>
      <w:lvlJc w:val="left"/>
      <w:pPr>
        <w:ind w:left="1547" w:firstLine="0"/>
      </w:pPr>
      <w:rPr>
        <w:rFonts w:hint="default"/>
      </w:rPr>
    </w:lvl>
    <w:lvl w:ilvl="6">
      <w:numFmt w:val="decimal"/>
      <w:lvlText w:val=""/>
      <w:lvlJc w:val="left"/>
      <w:pPr>
        <w:ind w:left="1547" w:firstLine="0"/>
      </w:pPr>
      <w:rPr>
        <w:rFonts w:hint="default"/>
      </w:rPr>
    </w:lvl>
    <w:lvl w:ilvl="7">
      <w:numFmt w:val="decimal"/>
      <w:lvlText w:val=""/>
      <w:lvlJc w:val="left"/>
      <w:pPr>
        <w:ind w:left="1547" w:firstLine="0"/>
      </w:pPr>
      <w:rPr>
        <w:rFonts w:hint="default"/>
      </w:rPr>
    </w:lvl>
    <w:lvl w:ilvl="8">
      <w:numFmt w:val="decimal"/>
      <w:lvlText w:val=""/>
      <w:lvlJc w:val="left"/>
      <w:pPr>
        <w:ind w:left="1547" w:firstLine="0"/>
      </w:pPr>
      <w:rPr>
        <w:rFonts w:hint="default"/>
      </w:rPr>
    </w:lvl>
  </w:abstractNum>
  <w:abstractNum w:abstractNumId="33" w15:restartNumberingAfterBreak="0">
    <w:nsid w:val="5A9B4431"/>
    <w:multiLevelType w:val="hybridMultilevel"/>
    <w:tmpl w:val="F078CEF6"/>
    <w:lvl w:ilvl="0" w:tplc="38E4E82A">
      <w:start w:val="1"/>
      <w:numFmt w:val="decimal"/>
      <w:lvlText w:val="(%1)"/>
      <w:lvlJc w:val="left"/>
      <w:pPr>
        <w:ind w:left="1211" w:hanging="360"/>
      </w:pPr>
      <w:rPr>
        <w:rFonts w:hint="default"/>
      </w:rPr>
    </w:lvl>
    <w:lvl w:ilvl="1" w:tplc="67604034">
      <w:start w:val="1"/>
      <w:numFmt w:val="lowerLetter"/>
      <w:lvlText w:val="(%2)"/>
      <w:lvlJc w:val="left"/>
      <w:pPr>
        <w:ind w:left="1931" w:hanging="360"/>
      </w:pPr>
      <w:rPr>
        <w:rFonts w:hint="default"/>
      </w:r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4" w15:restartNumberingAfterBreak="0">
    <w:nsid w:val="5AB4706F"/>
    <w:multiLevelType w:val="hybridMultilevel"/>
    <w:tmpl w:val="3DF8DF42"/>
    <w:lvl w:ilvl="0" w:tplc="38E4E82A">
      <w:start w:val="1"/>
      <w:numFmt w:val="decimal"/>
      <w:lvlText w:val="(%1)"/>
      <w:lvlJc w:val="left"/>
      <w:pPr>
        <w:ind w:left="1224" w:hanging="360"/>
      </w:pPr>
      <w:rPr>
        <w:rFonts w:hint="default"/>
      </w:rPr>
    </w:lvl>
    <w:lvl w:ilvl="1" w:tplc="08090019">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35" w15:restartNumberingAfterBreak="0">
    <w:nsid w:val="5B994938"/>
    <w:multiLevelType w:val="multilevel"/>
    <w:tmpl w:val="B502A698"/>
    <w:lvl w:ilvl="0">
      <w:start w:val="1"/>
      <w:numFmt w:val="lowerLetter"/>
      <w:lvlText w:val="(%1)"/>
      <w:lvlJc w:val="left"/>
      <w:pPr>
        <w:tabs>
          <w:tab w:val="num" w:pos="1835"/>
        </w:tabs>
        <w:ind w:left="1814" w:hanging="567"/>
      </w:pPr>
      <w:rPr>
        <w:rFonts w:ascii="Arial" w:hAnsi="Arial" w:hint="default"/>
        <w:color w:val="000000"/>
        <w:spacing w:val="0"/>
        <w:w w:val="100"/>
        <w:sz w:val="24"/>
        <w:vertAlign w:val="baseline"/>
      </w:rPr>
    </w:lvl>
    <w:lvl w:ilvl="1">
      <w:numFmt w:val="decimal"/>
      <w:lvlText w:val="%2"/>
      <w:lvlJc w:val="left"/>
      <w:pPr>
        <w:ind w:left="1547" w:firstLine="0"/>
      </w:pPr>
      <w:rPr>
        <w:rFonts w:hint="default"/>
      </w:rPr>
    </w:lvl>
    <w:lvl w:ilvl="2">
      <w:numFmt w:val="decimal"/>
      <w:lvlText w:val="%3"/>
      <w:lvlJc w:val="left"/>
      <w:pPr>
        <w:ind w:left="1547" w:firstLine="0"/>
      </w:pPr>
      <w:rPr>
        <w:rFonts w:hint="default"/>
      </w:rPr>
    </w:lvl>
    <w:lvl w:ilvl="3">
      <w:numFmt w:val="decimal"/>
      <w:lvlText w:val=""/>
      <w:lvlJc w:val="left"/>
      <w:pPr>
        <w:ind w:left="1547" w:firstLine="0"/>
      </w:pPr>
      <w:rPr>
        <w:rFonts w:hint="default"/>
      </w:rPr>
    </w:lvl>
    <w:lvl w:ilvl="4">
      <w:numFmt w:val="decimal"/>
      <w:lvlText w:val=""/>
      <w:lvlJc w:val="left"/>
      <w:pPr>
        <w:ind w:left="1547" w:firstLine="0"/>
      </w:pPr>
      <w:rPr>
        <w:rFonts w:hint="default"/>
      </w:rPr>
    </w:lvl>
    <w:lvl w:ilvl="5">
      <w:numFmt w:val="decimal"/>
      <w:lvlText w:val=""/>
      <w:lvlJc w:val="left"/>
      <w:pPr>
        <w:ind w:left="1547" w:firstLine="0"/>
      </w:pPr>
      <w:rPr>
        <w:rFonts w:hint="default"/>
      </w:rPr>
    </w:lvl>
    <w:lvl w:ilvl="6">
      <w:numFmt w:val="decimal"/>
      <w:lvlText w:val=""/>
      <w:lvlJc w:val="left"/>
      <w:pPr>
        <w:ind w:left="1547" w:firstLine="0"/>
      </w:pPr>
      <w:rPr>
        <w:rFonts w:hint="default"/>
      </w:rPr>
    </w:lvl>
    <w:lvl w:ilvl="7">
      <w:numFmt w:val="decimal"/>
      <w:lvlText w:val=""/>
      <w:lvlJc w:val="left"/>
      <w:pPr>
        <w:ind w:left="1547" w:firstLine="0"/>
      </w:pPr>
      <w:rPr>
        <w:rFonts w:hint="default"/>
      </w:rPr>
    </w:lvl>
    <w:lvl w:ilvl="8">
      <w:numFmt w:val="decimal"/>
      <w:lvlText w:val=""/>
      <w:lvlJc w:val="left"/>
      <w:pPr>
        <w:ind w:left="1547" w:firstLine="0"/>
      </w:pPr>
      <w:rPr>
        <w:rFonts w:hint="default"/>
      </w:rPr>
    </w:lvl>
  </w:abstractNum>
  <w:abstractNum w:abstractNumId="36" w15:restartNumberingAfterBreak="0">
    <w:nsid w:val="5CF14F5C"/>
    <w:multiLevelType w:val="multilevel"/>
    <w:tmpl w:val="F9ACDE88"/>
    <w:lvl w:ilvl="0">
      <w:start w:val="1"/>
      <w:numFmt w:val="lowerLetter"/>
      <w:lvlText w:val="(%1)"/>
      <w:lvlJc w:val="left"/>
      <w:pPr>
        <w:tabs>
          <w:tab w:val="num" w:pos="1835"/>
        </w:tabs>
        <w:ind w:left="1814" w:hanging="567"/>
      </w:pPr>
      <w:rPr>
        <w:rFonts w:ascii="Arial" w:hAnsi="Arial" w:hint="default"/>
        <w:color w:val="000000"/>
        <w:spacing w:val="0"/>
        <w:w w:val="100"/>
        <w:sz w:val="24"/>
        <w:vertAlign w:val="baseline"/>
        <w:lang w:val="en-US"/>
      </w:rPr>
    </w:lvl>
    <w:lvl w:ilvl="1">
      <w:numFmt w:val="decimal"/>
      <w:lvlText w:val="%2"/>
      <w:lvlJc w:val="left"/>
      <w:pPr>
        <w:ind w:left="1547" w:firstLine="0"/>
      </w:pPr>
      <w:rPr>
        <w:rFonts w:hint="default"/>
      </w:rPr>
    </w:lvl>
    <w:lvl w:ilvl="2">
      <w:numFmt w:val="decimal"/>
      <w:lvlText w:val="%3"/>
      <w:lvlJc w:val="left"/>
      <w:pPr>
        <w:ind w:left="1547" w:firstLine="0"/>
      </w:pPr>
      <w:rPr>
        <w:rFonts w:hint="default"/>
      </w:rPr>
    </w:lvl>
    <w:lvl w:ilvl="3">
      <w:numFmt w:val="decimal"/>
      <w:lvlText w:val=""/>
      <w:lvlJc w:val="left"/>
      <w:pPr>
        <w:ind w:left="1547" w:firstLine="0"/>
      </w:pPr>
      <w:rPr>
        <w:rFonts w:hint="default"/>
      </w:rPr>
    </w:lvl>
    <w:lvl w:ilvl="4">
      <w:numFmt w:val="decimal"/>
      <w:lvlText w:val=""/>
      <w:lvlJc w:val="left"/>
      <w:pPr>
        <w:ind w:left="1547" w:firstLine="0"/>
      </w:pPr>
      <w:rPr>
        <w:rFonts w:hint="default"/>
      </w:rPr>
    </w:lvl>
    <w:lvl w:ilvl="5">
      <w:numFmt w:val="decimal"/>
      <w:lvlText w:val=""/>
      <w:lvlJc w:val="left"/>
      <w:pPr>
        <w:ind w:left="1547" w:firstLine="0"/>
      </w:pPr>
      <w:rPr>
        <w:rFonts w:hint="default"/>
      </w:rPr>
    </w:lvl>
    <w:lvl w:ilvl="6">
      <w:numFmt w:val="decimal"/>
      <w:lvlText w:val=""/>
      <w:lvlJc w:val="left"/>
      <w:pPr>
        <w:ind w:left="1547" w:firstLine="0"/>
      </w:pPr>
      <w:rPr>
        <w:rFonts w:hint="default"/>
      </w:rPr>
    </w:lvl>
    <w:lvl w:ilvl="7">
      <w:numFmt w:val="decimal"/>
      <w:lvlText w:val=""/>
      <w:lvlJc w:val="left"/>
      <w:pPr>
        <w:ind w:left="1547" w:firstLine="0"/>
      </w:pPr>
      <w:rPr>
        <w:rFonts w:hint="default"/>
      </w:rPr>
    </w:lvl>
    <w:lvl w:ilvl="8">
      <w:numFmt w:val="decimal"/>
      <w:lvlText w:val=""/>
      <w:lvlJc w:val="left"/>
      <w:pPr>
        <w:ind w:left="1547" w:firstLine="0"/>
      </w:pPr>
      <w:rPr>
        <w:rFonts w:hint="default"/>
      </w:rPr>
    </w:lvl>
  </w:abstractNum>
  <w:abstractNum w:abstractNumId="37" w15:restartNumberingAfterBreak="0">
    <w:nsid w:val="5EEB2CA8"/>
    <w:multiLevelType w:val="hybridMultilevel"/>
    <w:tmpl w:val="5C7687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AB2AC4"/>
    <w:multiLevelType w:val="multilevel"/>
    <w:tmpl w:val="E0907A62"/>
    <w:lvl w:ilvl="0">
      <w:start w:val="1"/>
      <w:numFmt w:val="lowerLetter"/>
      <w:lvlText w:val="(%1)"/>
      <w:lvlJc w:val="left"/>
      <w:pPr>
        <w:tabs>
          <w:tab w:val="num" w:pos="1155"/>
        </w:tabs>
        <w:ind w:left="1264" w:hanging="397"/>
      </w:pPr>
      <w:rPr>
        <w:rFonts w:ascii="Arial" w:hAnsi="Arial" w:hint="default"/>
        <w:color w:val="000000"/>
        <w:spacing w:val="0"/>
        <w:w w:val="100"/>
        <w:sz w:val="24"/>
        <w:vertAlign w:val="baseline"/>
        <w:lang w:val="en-US"/>
      </w:rPr>
    </w:lvl>
    <w:lvl w:ilvl="1">
      <w:numFmt w:val="decimal"/>
      <w:lvlText w:val="%2"/>
      <w:lvlJc w:val="left"/>
      <w:pPr>
        <w:ind w:left="867" w:firstLine="0"/>
      </w:pPr>
      <w:rPr>
        <w:rFonts w:hint="default"/>
      </w:rPr>
    </w:lvl>
    <w:lvl w:ilvl="2">
      <w:numFmt w:val="decimal"/>
      <w:lvlText w:val="%3"/>
      <w:lvlJc w:val="left"/>
      <w:pPr>
        <w:ind w:left="867" w:firstLine="0"/>
      </w:pPr>
      <w:rPr>
        <w:rFonts w:hint="default"/>
      </w:rPr>
    </w:lvl>
    <w:lvl w:ilvl="3">
      <w:numFmt w:val="decimal"/>
      <w:lvlText w:val=""/>
      <w:lvlJc w:val="left"/>
      <w:pPr>
        <w:ind w:left="867" w:firstLine="0"/>
      </w:pPr>
      <w:rPr>
        <w:rFonts w:hint="default"/>
      </w:rPr>
    </w:lvl>
    <w:lvl w:ilvl="4">
      <w:numFmt w:val="decimal"/>
      <w:lvlText w:val=""/>
      <w:lvlJc w:val="left"/>
      <w:pPr>
        <w:ind w:left="867" w:firstLine="0"/>
      </w:pPr>
      <w:rPr>
        <w:rFonts w:hint="default"/>
      </w:rPr>
    </w:lvl>
    <w:lvl w:ilvl="5">
      <w:numFmt w:val="decimal"/>
      <w:lvlText w:val=""/>
      <w:lvlJc w:val="left"/>
      <w:pPr>
        <w:ind w:left="867" w:firstLine="0"/>
      </w:pPr>
      <w:rPr>
        <w:rFonts w:hint="default"/>
      </w:rPr>
    </w:lvl>
    <w:lvl w:ilvl="6">
      <w:numFmt w:val="decimal"/>
      <w:lvlText w:val=""/>
      <w:lvlJc w:val="left"/>
      <w:pPr>
        <w:ind w:left="867" w:firstLine="0"/>
      </w:pPr>
      <w:rPr>
        <w:rFonts w:hint="default"/>
      </w:rPr>
    </w:lvl>
    <w:lvl w:ilvl="7">
      <w:numFmt w:val="decimal"/>
      <w:lvlText w:val=""/>
      <w:lvlJc w:val="left"/>
      <w:pPr>
        <w:ind w:left="867" w:firstLine="0"/>
      </w:pPr>
      <w:rPr>
        <w:rFonts w:hint="default"/>
      </w:rPr>
    </w:lvl>
    <w:lvl w:ilvl="8">
      <w:numFmt w:val="decimal"/>
      <w:lvlText w:val=""/>
      <w:lvlJc w:val="left"/>
      <w:pPr>
        <w:ind w:left="867" w:firstLine="0"/>
      </w:pPr>
      <w:rPr>
        <w:rFonts w:hint="default"/>
      </w:rPr>
    </w:lvl>
  </w:abstractNum>
  <w:abstractNum w:abstractNumId="39" w15:restartNumberingAfterBreak="0">
    <w:nsid w:val="684912E8"/>
    <w:multiLevelType w:val="multilevel"/>
    <w:tmpl w:val="F9ACDE88"/>
    <w:lvl w:ilvl="0">
      <w:start w:val="1"/>
      <w:numFmt w:val="lowerLetter"/>
      <w:lvlText w:val="(%1)"/>
      <w:lvlJc w:val="left"/>
      <w:pPr>
        <w:tabs>
          <w:tab w:val="num" w:pos="1835"/>
        </w:tabs>
        <w:ind w:left="1814" w:hanging="567"/>
      </w:pPr>
      <w:rPr>
        <w:rFonts w:ascii="Arial" w:hAnsi="Arial" w:hint="default"/>
        <w:color w:val="000000"/>
        <w:spacing w:val="0"/>
        <w:w w:val="100"/>
        <w:sz w:val="24"/>
        <w:vertAlign w:val="baseline"/>
        <w:lang w:val="en-US"/>
      </w:rPr>
    </w:lvl>
    <w:lvl w:ilvl="1">
      <w:numFmt w:val="decimal"/>
      <w:lvlText w:val="%2"/>
      <w:lvlJc w:val="left"/>
      <w:pPr>
        <w:ind w:left="1547" w:firstLine="0"/>
      </w:pPr>
      <w:rPr>
        <w:rFonts w:hint="default"/>
      </w:rPr>
    </w:lvl>
    <w:lvl w:ilvl="2">
      <w:numFmt w:val="decimal"/>
      <w:lvlText w:val="%3"/>
      <w:lvlJc w:val="left"/>
      <w:pPr>
        <w:ind w:left="1547" w:firstLine="0"/>
      </w:pPr>
      <w:rPr>
        <w:rFonts w:hint="default"/>
      </w:rPr>
    </w:lvl>
    <w:lvl w:ilvl="3">
      <w:numFmt w:val="decimal"/>
      <w:lvlText w:val=""/>
      <w:lvlJc w:val="left"/>
      <w:pPr>
        <w:ind w:left="1547" w:firstLine="0"/>
      </w:pPr>
      <w:rPr>
        <w:rFonts w:hint="default"/>
      </w:rPr>
    </w:lvl>
    <w:lvl w:ilvl="4">
      <w:numFmt w:val="decimal"/>
      <w:lvlText w:val=""/>
      <w:lvlJc w:val="left"/>
      <w:pPr>
        <w:ind w:left="1547" w:firstLine="0"/>
      </w:pPr>
      <w:rPr>
        <w:rFonts w:hint="default"/>
      </w:rPr>
    </w:lvl>
    <w:lvl w:ilvl="5">
      <w:numFmt w:val="decimal"/>
      <w:lvlText w:val=""/>
      <w:lvlJc w:val="left"/>
      <w:pPr>
        <w:ind w:left="1547" w:firstLine="0"/>
      </w:pPr>
      <w:rPr>
        <w:rFonts w:hint="default"/>
      </w:rPr>
    </w:lvl>
    <w:lvl w:ilvl="6">
      <w:numFmt w:val="decimal"/>
      <w:lvlText w:val=""/>
      <w:lvlJc w:val="left"/>
      <w:pPr>
        <w:ind w:left="1547" w:firstLine="0"/>
      </w:pPr>
      <w:rPr>
        <w:rFonts w:hint="default"/>
      </w:rPr>
    </w:lvl>
    <w:lvl w:ilvl="7">
      <w:numFmt w:val="decimal"/>
      <w:lvlText w:val=""/>
      <w:lvlJc w:val="left"/>
      <w:pPr>
        <w:ind w:left="1547" w:firstLine="0"/>
      </w:pPr>
      <w:rPr>
        <w:rFonts w:hint="default"/>
      </w:rPr>
    </w:lvl>
    <w:lvl w:ilvl="8">
      <w:numFmt w:val="decimal"/>
      <w:lvlText w:val=""/>
      <w:lvlJc w:val="left"/>
      <w:pPr>
        <w:ind w:left="1547" w:firstLine="0"/>
      </w:pPr>
      <w:rPr>
        <w:rFonts w:hint="default"/>
      </w:rPr>
    </w:lvl>
  </w:abstractNum>
  <w:abstractNum w:abstractNumId="40" w15:restartNumberingAfterBreak="0">
    <w:nsid w:val="699A009B"/>
    <w:multiLevelType w:val="multilevel"/>
    <w:tmpl w:val="3D24E398"/>
    <w:lvl w:ilvl="0">
      <w:start w:val="1"/>
      <w:numFmt w:val="decimal"/>
      <w:lvlText w:val="(%1)"/>
      <w:lvlJc w:val="left"/>
      <w:pPr>
        <w:ind w:left="1440" w:hanging="360"/>
      </w:pPr>
      <w:rPr>
        <w:rFonts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1" w15:restartNumberingAfterBreak="0">
    <w:nsid w:val="76090341"/>
    <w:multiLevelType w:val="hybridMultilevel"/>
    <w:tmpl w:val="1430EF18"/>
    <w:lvl w:ilvl="0" w:tplc="471C4900">
      <w:start w:val="164"/>
      <w:numFmt w:val="decimal"/>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70332A"/>
    <w:multiLevelType w:val="multilevel"/>
    <w:tmpl w:val="C2329CA8"/>
    <w:lvl w:ilvl="0">
      <w:start w:val="1"/>
      <w:numFmt w:val="decimal"/>
      <w:lvlText w:val="%1."/>
      <w:lvlJc w:val="left"/>
      <w:pPr>
        <w:ind w:left="510" w:hanging="283"/>
      </w:pPr>
      <w:rPr>
        <w:rFonts w:hint="default"/>
        <w:b w:val="0"/>
        <w:bCs/>
      </w:rPr>
    </w:lvl>
    <w:lvl w:ilvl="1">
      <w:start w:val="1"/>
      <w:numFmt w:val="bullet"/>
      <w:lvlText w:val=""/>
      <w:lvlJc w:val="left"/>
      <w:pPr>
        <w:ind w:left="1511" w:hanging="360"/>
      </w:pPr>
      <w:rPr>
        <w:rFonts w:ascii="Symbol" w:hAnsi="Symbol" w:hint="default"/>
      </w:rPr>
    </w:lvl>
    <w:lvl w:ilvl="2">
      <w:start w:val="1"/>
      <w:numFmt w:val="lowerRoman"/>
      <w:lvlText w:val="%3."/>
      <w:lvlJc w:val="right"/>
      <w:pPr>
        <w:ind w:left="2358" w:hanging="283"/>
      </w:pPr>
      <w:rPr>
        <w:rFonts w:hint="default"/>
      </w:rPr>
    </w:lvl>
    <w:lvl w:ilvl="3">
      <w:start w:val="1"/>
      <w:numFmt w:val="decimal"/>
      <w:lvlText w:val="%4."/>
      <w:lvlJc w:val="left"/>
      <w:pPr>
        <w:ind w:left="3282" w:hanging="283"/>
      </w:pPr>
      <w:rPr>
        <w:rFonts w:hint="default"/>
      </w:rPr>
    </w:lvl>
    <w:lvl w:ilvl="4">
      <w:start w:val="1"/>
      <w:numFmt w:val="lowerLetter"/>
      <w:lvlText w:val="%5."/>
      <w:lvlJc w:val="left"/>
      <w:pPr>
        <w:ind w:left="4206" w:hanging="283"/>
      </w:pPr>
      <w:rPr>
        <w:rFonts w:hint="default"/>
      </w:rPr>
    </w:lvl>
    <w:lvl w:ilvl="5">
      <w:start w:val="1"/>
      <w:numFmt w:val="lowerRoman"/>
      <w:lvlText w:val="%6."/>
      <w:lvlJc w:val="right"/>
      <w:pPr>
        <w:ind w:left="5130" w:hanging="283"/>
      </w:pPr>
      <w:rPr>
        <w:rFonts w:hint="default"/>
      </w:rPr>
    </w:lvl>
    <w:lvl w:ilvl="6">
      <w:start w:val="1"/>
      <w:numFmt w:val="decimal"/>
      <w:lvlText w:val="%7."/>
      <w:lvlJc w:val="left"/>
      <w:pPr>
        <w:ind w:left="6054" w:hanging="283"/>
      </w:pPr>
      <w:rPr>
        <w:rFonts w:hint="default"/>
      </w:rPr>
    </w:lvl>
    <w:lvl w:ilvl="7">
      <w:start w:val="1"/>
      <w:numFmt w:val="lowerLetter"/>
      <w:lvlText w:val="%8."/>
      <w:lvlJc w:val="left"/>
      <w:pPr>
        <w:ind w:left="6978" w:hanging="283"/>
      </w:pPr>
      <w:rPr>
        <w:rFonts w:hint="default"/>
      </w:rPr>
    </w:lvl>
    <w:lvl w:ilvl="8">
      <w:start w:val="1"/>
      <w:numFmt w:val="lowerRoman"/>
      <w:lvlText w:val="%9."/>
      <w:lvlJc w:val="right"/>
      <w:pPr>
        <w:ind w:left="7902" w:hanging="283"/>
      </w:pPr>
      <w:rPr>
        <w:rFonts w:hint="default"/>
      </w:rPr>
    </w:lvl>
  </w:abstractNum>
  <w:abstractNum w:abstractNumId="43" w15:restartNumberingAfterBreak="0">
    <w:nsid w:val="78CA4134"/>
    <w:multiLevelType w:val="hybridMultilevel"/>
    <w:tmpl w:val="65D4036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4" w15:restartNumberingAfterBreak="0">
    <w:nsid w:val="7B30409C"/>
    <w:multiLevelType w:val="hybridMultilevel"/>
    <w:tmpl w:val="1F509466"/>
    <w:lvl w:ilvl="0" w:tplc="08090001">
      <w:start w:val="1"/>
      <w:numFmt w:val="bullet"/>
      <w:lvlText w:val=""/>
      <w:lvlJc w:val="left"/>
      <w:pPr>
        <w:ind w:left="1211" w:hanging="360"/>
      </w:pPr>
      <w:rPr>
        <w:rFonts w:ascii="Symbol" w:hAnsi="Symbol"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num w:numId="1" w16cid:durableId="698703249">
    <w:abstractNumId w:val="31"/>
  </w:num>
  <w:num w:numId="2" w16cid:durableId="620458638">
    <w:abstractNumId w:val="26"/>
  </w:num>
  <w:num w:numId="3" w16cid:durableId="1429695936">
    <w:abstractNumId w:val="30"/>
  </w:num>
  <w:num w:numId="4" w16cid:durableId="78255623">
    <w:abstractNumId w:val="25"/>
  </w:num>
  <w:num w:numId="5" w16cid:durableId="415135212">
    <w:abstractNumId w:val="20"/>
  </w:num>
  <w:num w:numId="6" w16cid:durableId="1825005945">
    <w:abstractNumId w:val="38"/>
  </w:num>
  <w:num w:numId="7" w16cid:durableId="1056396705">
    <w:abstractNumId w:val="3"/>
  </w:num>
  <w:num w:numId="8" w16cid:durableId="1790247229">
    <w:abstractNumId w:val="21"/>
  </w:num>
  <w:num w:numId="9" w16cid:durableId="1060400243">
    <w:abstractNumId w:val="32"/>
  </w:num>
  <w:num w:numId="10" w16cid:durableId="1225140306">
    <w:abstractNumId w:val="36"/>
  </w:num>
  <w:num w:numId="11" w16cid:durableId="499203925">
    <w:abstractNumId w:val="14"/>
  </w:num>
  <w:num w:numId="12" w16cid:durableId="907375391">
    <w:abstractNumId w:val="17"/>
  </w:num>
  <w:num w:numId="13" w16cid:durableId="1999535542">
    <w:abstractNumId w:val="1"/>
  </w:num>
  <w:num w:numId="14" w16cid:durableId="1798833567">
    <w:abstractNumId w:val="35"/>
  </w:num>
  <w:num w:numId="15" w16cid:durableId="1818260532">
    <w:abstractNumId w:val="29"/>
  </w:num>
  <w:num w:numId="16" w16cid:durableId="1333029168">
    <w:abstractNumId w:val="33"/>
  </w:num>
  <w:num w:numId="17" w16cid:durableId="366294917">
    <w:abstractNumId w:val="19"/>
  </w:num>
  <w:num w:numId="18" w16cid:durableId="1471555572">
    <w:abstractNumId w:val="43"/>
  </w:num>
  <w:num w:numId="19" w16cid:durableId="935602126">
    <w:abstractNumId w:val="10"/>
  </w:num>
  <w:num w:numId="20" w16cid:durableId="2072802574">
    <w:abstractNumId w:val="39"/>
  </w:num>
  <w:num w:numId="21" w16cid:durableId="1751734909">
    <w:abstractNumId w:val="5"/>
  </w:num>
  <w:num w:numId="22" w16cid:durableId="1364672167">
    <w:abstractNumId w:val="24"/>
  </w:num>
  <w:num w:numId="23" w16cid:durableId="2100054378">
    <w:abstractNumId w:val="15"/>
  </w:num>
  <w:num w:numId="24" w16cid:durableId="430707613">
    <w:abstractNumId w:val="12"/>
  </w:num>
  <w:num w:numId="25" w16cid:durableId="2069718711">
    <w:abstractNumId w:val="28"/>
  </w:num>
  <w:num w:numId="26" w16cid:durableId="1242374519">
    <w:abstractNumId w:val="7"/>
  </w:num>
  <w:num w:numId="27" w16cid:durableId="1396128960">
    <w:abstractNumId w:val="37"/>
  </w:num>
  <w:num w:numId="28" w16cid:durableId="922027481">
    <w:abstractNumId w:val="42"/>
  </w:num>
  <w:num w:numId="29" w16cid:durableId="1911503366">
    <w:abstractNumId w:val="16"/>
  </w:num>
  <w:num w:numId="30" w16cid:durableId="508132843">
    <w:abstractNumId w:val="4"/>
  </w:num>
  <w:num w:numId="31" w16cid:durableId="412165009">
    <w:abstractNumId w:val="34"/>
  </w:num>
  <w:num w:numId="32" w16cid:durableId="84159405">
    <w:abstractNumId w:val="27"/>
  </w:num>
  <w:num w:numId="33" w16cid:durableId="719861324">
    <w:abstractNumId w:val="22"/>
  </w:num>
  <w:num w:numId="34" w16cid:durableId="228468267">
    <w:abstractNumId w:val="41"/>
  </w:num>
  <w:num w:numId="35" w16cid:durableId="1892422567">
    <w:abstractNumId w:val="8"/>
  </w:num>
  <w:num w:numId="36" w16cid:durableId="904950998">
    <w:abstractNumId w:val="2"/>
  </w:num>
  <w:num w:numId="37" w16cid:durableId="176234066">
    <w:abstractNumId w:val="13"/>
  </w:num>
  <w:num w:numId="38" w16cid:durableId="1923181018">
    <w:abstractNumId w:val="44"/>
  </w:num>
  <w:num w:numId="39" w16cid:durableId="721171376">
    <w:abstractNumId w:val="18"/>
  </w:num>
  <w:num w:numId="40" w16cid:durableId="1966765894">
    <w:abstractNumId w:val="11"/>
  </w:num>
  <w:num w:numId="41" w16cid:durableId="950480057">
    <w:abstractNumId w:val="6"/>
  </w:num>
  <w:num w:numId="42" w16cid:durableId="1866014078">
    <w:abstractNumId w:val="40"/>
  </w:num>
  <w:num w:numId="43" w16cid:durableId="486286609">
    <w:abstractNumId w:val="0"/>
  </w:num>
  <w:num w:numId="44" w16cid:durableId="584190020">
    <w:abstractNumId w:val="23"/>
  </w:num>
  <w:num w:numId="45" w16cid:durableId="132658879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5ED"/>
    <w:rsid w:val="000012E4"/>
    <w:rsid w:val="000014F0"/>
    <w:rsid w:val="0000180C"/>
    <w:rsid w:val="000032CB"/>
    <w:rsid w:val="0000371F"/>
    <w:rsid w:val="00005D79"/>
    <w:rsid w:val="0000655A"/>
    <w:rsid w:val="00010497"/>
    <w:rsid w:val="000135A3"/>
    <w:rsid w:val="00022B4A"/>
    <w:rsid w:val="0002400A"/>
    <w:rsid w:val="00025575"/>
    <w:rsid w:val="0002558B"/>
    <w:rsid w:val="00025D19"/>
    <w:rsid w:val="00026421"/>
    <w:rsid w:val="00033C86"/>
    <w:rsid w:val="000344F6"/>
    <w:rsid w:val="000359AC"/>
    <w:rsid w:val="00037963"/>
    <w:rsid w:val="000454F6"/>
    <w:rsid w:val="00045C37"/>
    <w:rsid w:val="00046969"/>
    <w:rsid w:val="00051FBC"/>
    <w:rsid w:val="00052CB9"/>
    <w:rsid w:val="00052F15"/>
    <w:rsid w:val="000545B6"/>
    <w:rsid w:val="000568AE"/>
    <w:rsid w:val="00056DBB"/>
    <w:rsid w:val="00061EE7"/>
    <w:rsid w:val="000668C0"/>
    <w:rsid w:val="0006754B"/>
    <w:rsid w:val="00073975"/>
    <w:rsid w:val="00074617"/>
    <w:rsid w:val="00074F4B"/>
    <w:rsid w:val="000809D7"/>
    <w:rsid w:val="00080E90"/>
    <w:rsid w:val="000837A6"/>
    <w:rsid w:val="0008404A"/>
    <w:rsid w:val="00087E59"/>
    <w:rsid w:val="00087F77"/>
    <w:rsid w:val="00090D87"/>
    <w:rsid w:val="0009238A"/>
    <w:rsid w:val="00094D40"/>
    <w:rsid w:val="000A2A63"/>
    <w:rsid w:val="000A7102"/>
    <w:rsid w:val="000B0025"/>
    <w:rsid w:val="000B0F12"/>
    <w:rsid w:val="000B386F"/>
    <w:rsid w:val="000B4E8D"/>
    <w:rsid w:val="000B52D4"/>
    <w:rsid w:val="000B5FEB"/>
    <w:rsid w:val="000C033E"/>
    <w:rsid w:val="000C6C16"/>
    <w:rsid w:val="000C7F88"/>
    <w:rsid w:val="000D292E"/>
    <w:rsid w:val="000D3384"/>
    <w:rsid w:val="000D3FE2"/>
    <w:rsid w:val="000D5DA2"/>
    <w:rsid w:val="000D5EB2"/>
    <w:rsid w:val="000D7BB1"/>
    <w:rsid w:val="000E20E1"/>
    <w:rsid w:val="000E4886"/>
    <w:rsid w:val="000E4D16"/>
    <w:rsid w:val="000F052C"/>
    <w:rsid w:val="000F085B"/>
    <w:rsid w:val="000F3B77"/>
    <w:rsid w:val="00100A03"/>
    <w:rsid w:val="00102183"/>
    <w:rsid w:val="00103E31"/>
    <w:rsid w:val="00103E83"/>
    <w:rsid w:val="0011137B"/>
    <w:rsid w:val="00111538"/>
    <w:rsid w:val="0011682B"/>
    <w:rsid w:val="001169B8"/>
    <w:rsid w:val="00116AD1"/>
    <w:rsid w:val="00117783"/>
    <w:rsid w:val="00121E2B"/>
    <w:rsid w:val="0012248A"/>
    <w:rsid w:val="001230DB"/>
    <w:rsid w:val="0012565A"/>
    <w:rsid w:val="00130814"/>
    <w:rsid w:val="001353B8"/>
    <w:rsid w:val="00135E57"/>
    <w:rsid w:val="00141127"/>
    <w:rsid w:val="00141893"/>
    <w:rsid w:val="00143838"/>
    <w:rsid w:val="00154809"/>
    <w:rsid w:val="00160EBF"/>
    <w:rsid w:val="00162763"/>
    <w:rsid w:val="00166C51"/>
    <w:rsid w:val="001701D3"/>
    <w:rsid w:val="00170BDB"/>
    <w:rsid w:val="00172E52"/>
    <w:rsid w:val="001776C3"/>
    <w:rsid w:val="0018171E"/>
    <w:rsid w:val="00181800"/>
    <w:rsid w:val="00181AC5"/>
    <w:rsid w:val="00183B7B"/>
    <w:rsid w:val="00185A1F"/>
    <w:rsid w:val="00186940"/>
    <w:rsid w:val="00192AED"/>
    <w:rsid w:val="00196A96"/>
    <w:rsid w:val="001B0E42"/>
    <w:rsid w:val="001B133F"/>
    <w:rsid w:val="001B209F"/>
    <w:rsid w:val="001B34CE"/>
    <w:rsid w:val="001B4519"/>
    <w:rsid w:val="001B4EBC"/>
    <w:rsid w:val="001B5028"/>
    <w:rsid w:val="001C2229"/>
    <w:rsid w:val="001C4500"/>
    <w:rsid w:val="001C5E4F"/>
    <w:rsid w:val="001D0225"/>
    <w:rsid w:val="001D1397"/>
    <w:rsid w:val="001D3526"/>
    <w:rsid w:val="001D45A4"/>
    <w:rsid w:val="001D53F4"/>
    <w:rsid w:val="001D53F8"/>
    <w:rsid w:val="001D585C"/>
    <w:rsid w:val="001E4678"/>
    <w:rsid w:val="001E4C9A"/>
    <w:rsid w:val="001F2839"/>
    <w:rsid w:val="001F53A1"/>
    <w:rsid w:val="001F59FE"/>
    <w:rsid w:val="001F5E0B"/>
    <w:rsid w:val="001F7AA4"/>
    <w:rsid w:val="001F7FCF"/>
    <w:rsid w:val="00205E60"/>
    <w:rsid w:val="00206F9C"/>
    <w:rsid w:val="00207B44"/>
    <w:rsid w:val="00213614"/>
    <w:rsid w:val="0021634B"/>
    <w:rsid w:val="00220182"/>
    <w:rsid w:val="0022437D"/>
    <w:rsid w:val="00233522"/>
    <w:rsid w:val="00233D69"/>
    <w:rsid w:val="00234A10"/>
    <w:rsid w:val="0023529F"/>
    <w:rsid w:val="002401CE"/>
    <w:rsid w:val="0024372A"/>
    <w:rsid w:val="00251379"/>
    <w:rsid w:val="00251422"/>
    <w:rsid w:val="0025391C"/>
    <w:rsid w:val="00257435"/>
    <w:rsid w:val="00257E72"/>
    <w:rsid w:val="00264038"/>
    <w:rsid w:val="00265A2C"/>
    <w:rsid w:val="0027186F"/>
    <w:rsid w:val="00273372"/>
    <w:rsid w:val="002827A9"/>
    <w:rsid w:val="0028554C"/>
    <w:rsid w:val="0029139E"/>
    <w:rsid w:val="0029215A"/>
    <w:rsid w:val="002960BB"/>
    <w:rsid w:val="002978F4"/>
    <w:rsid w:val="002A0388"/>
    <w:rsid w:val="002A06A4"/>
    <w:rsid w:val="002A4651"/>
    <w:rsid w:val="002A5253"/>
    <w:rsid w:val="002A7517"/>
    <w:rsid w:val="002B08AC"/>
    <w:rsid w:val="002B0CF9"/>
    <w:rsid w:val="002B503D"/>
    <w:rsid w:val="002C4470"/>
    <w:rsid w:val="002C51B7"/>
    <w:rsid w:val="002C5F78"/>
    <w:rsid w:val="002C7329"/>
    <w:rsid w:val="002D08D5"/>
    <w:rsid w:val="002D3D71"/>
    <w:rsid w:val="002D44B9"/>
    <w:rsid w:val="002D49D8"/>
    <w:rsid w:val="002E0324"/>
    <w:rsid w:val="002E0E96"/>
    <w:rsid w:val="002E10DF"/>
    <w:rsid w:val="002E3F06"/>
    <w:rsid w:val="002F0B66"/>
    <w:rsid w:val="002F1794"/>
    <w:rsid w:val="002F3121"/>
    <w:rsid w:val="002F3988"/>
    <w:rsid w:val="002F41B2"/>
    <w:rsid w:val="00303E7C"/>
    <w:rsid w:val="0030529B"/>
    <w:rsid w:val="00307F5D"/>
    <w:rsid w:val="00312792"/>
    <w:rsid w:val="00320186"/>
    <w:rsid w:val="0032157B"/>
    <w:rsid w:val="003248D0"/>
    <w:rsid w:val="003279B5"/>
    <w:rsid w:val="0033695C"/>
    <w:rsid w:val="0033701B"/>
    <w:rsid w:val="00341430"/>
    <w:rsid w:val="003428DE"/>
    <w:rsid w:val="00346B34"/>
    <w:rsid w:val="0036200E"/>
    <w:rsid w:val="0036277C"/>
    <w:rsid w:val="00365024"/>
    <w:rsid w:val="00366E16"/>
    <w:rsid w:val="00367416"/>
    <w:rsid w:val="00370B4F"/>
    <w:rsid w:val="00374543"/>
    <w:rsid w:val="003750FA"/>
    <w:rsid w:val="0037574A"/>
    <w:rsid w:val="00376756"/>
    <w:rsid w:val="00376982"/>
    <w:rsid w:val="00382872"/>
    <w:rsid w:val="00383AFC"/>
    <w:rsid w:val="00385592"/>
    <w:rsid w:val="00385D27"/>
    <w:rsid w:val="00385E92"/>
    <w:rsid w:val="00387A29"/>
    <w:rsid w:val="00390EE7"/>
    <w:rsid w:val="00390FCF"/>
    <w:rsid w:val="00391131"/>
    <w:rsid w:val="003925EB"/>
    <w:rsid w:val="00396B29"/>
    <w:rsid w:val="003A396A"/>
    <w:rsid w:val="003A64E8"/>
    <w:rsid w:val="003B031A"/>
    <w:rsid w:val="003B233C"/>
    <w:rsid w:val="003B5038"/>
    <w:rsid w:val="003B6034"/>
    <w:rsid w:val="003C3E2C"/>
    <w:rsid w:val="003C798E"/>
    <w:rsid w:val="003D2D2D"/>
    <w:rsid w:val="003D4BCB"/>
    <w:rsid w:val="003D72CC"/>
    <w:rsid w:val="003E28A5"/>
    <w:rsid w:val="003E4FCB"/>
    <w:rsid w:val="003E7277"/>
    <w:rsid w:val="003E7FC0"/>
    <w:rsid w:val="003F01DE"/>
    <w:rsid w:val="003F2E0D"/>
    <w:rsid w:val="00404D32"/>
    <w:rsid w:val="00406943"/>
    <w:rsid w:val="00410BAD"/>
    <w:rsid w:val="00413D43"/>
    <w:rsid w:val="00415134"/>
    <w:rsid w:val="004162E2"/>
    <w:rsid w:val="0041674E"/>
    <w:rsid w:val="0042695A"/>
    <w:rsid w:val="0043763B"/>
    <w:rsid w:val="004423E8"/>
    <w:rsid w:val="00445026"/>
    <w:rsid w:val="00446B00"/>
    <w:rsid w:val="0044735C"/>
    <w:rsid w:val="00447F6D"/>
    <w:rsid w:val="004525FE"/>
    <w:rsid w:val="00457F2D"/>
    <w:rsid w:val="004655D6"/>
    <w:rsid w:val="004656F4"/>
    <w:rsid w:val="004663D2"/>
    <w:rsid w:val="004718D7"/>
    <w:rsid w:val="00471DDC"/>
    <w:rsid w:val="004835B9"/>
    <w:rsid w:val="00486068"/>
    <w:rsid w:val="004879C1"/>
    <w:rsid w:val="004916C0"/>
    <w:rsid w:val="004920DC"/>
    <w:rsid w:val="00492487"/>
    <w:rsid w:val="00496D25"/>
    <w:rsid w:val="00497A16"/>
    <w:rsid w:val="00497AB6"/>
    <w:rsid w:val="004A1D55"/>
    <w:rsid w:val="004A34D0"/>
    <w:rsid w:val="004A6CFB"/>
    <w:rsid w:val="004A6D72"/>
    <w:rsid w:val="004A77E8"/>
    <w:rsid w:val="004B0351"/>
    <w:rsid w:val="004B17DC"/>
    <w:rsid w:val="004C3C71"/>
    <w:rsid w:val="004C7D99"/>
    <w:rsid w:val="004D430D"/>
    <w:rsid w:val="004D53D5"/>
    <w:rsid w:val="004D722B"/>
    <w:rsid w:val="004E1AC1"/>
    <w:rsid w:val="004F08EC"/>
    <w:rsid w:val="004F1B43"/>
    <w:rsid w:val="004F45AD"/>
    <w:rsid w:val="004F6375"/>
    <w:rsid w:val="004F7532"/>
    <w:rsid w:val="00502FBB"/>
    <w:rsid w:val="00506918"/>
    <w:rsid w:val="00507AD5"/>
    <w:rsid w:val="005109B7"/>
    <w:rsid w:val="005138EB"/>
    <w:rsid w:val="00521D86"/>
    <w:rsid w:val="00521FF9"/>
    <w:rsid w:val="0052294E"/>
    <w:rsid w:val="00522AD6"/>
    <w:rsid w:val="005236D2"/>
    <w:rsid w:val="00524183"/>
    <w:rsid w:val="00524253"/>
    <w:rsid w:val="00525445"/>
    <w:rsid w:val="00527F34"/>
    <w:rsid w:val="00530600"/>
    <w:rsid w:val="00530653"/>
    <w:rsid w:val="00532986"/>
    <w:rsid w:val="00534B8A"/>
    <w:rsid w:val="00535DD7"/>
    <w:rsid w:val="005370CE"/>
    <w:rsid w:val="00546D3F"/>
    <w:rsid w:val="005506C8"/>
    <w:rsid w:val="0055168A"/>
    <w:rsid w:val="00552682"/>
    <w:rsid w:val="00562365"/>
    <w:rsid w:val="00562EBC"/>
    <w:rsid w:val="005742A0"/>
    <w:rsid w:val="00577D86"/>
    <w:rsid w:val="00582770"/>
    <w:rsid w:val="00582FE7"/>
    <w:rsid w:val="00585230"/>
    <w:rsid w:val="00586494"/>
    <w:rsid w:val="00587357"/>
    <w:rsid w:val="005873C4"/>
    <w:rsid w:val="00590725"/>
    <w:rsid w:val="005907DF"/>
    <w:rsid w:val="0059187B"/>
    <w:rsid w:val="00591ACA"/>
    <w:rsid w:val="0059353F"/>
    <w:rsid w:val="00594DB8"/>
    <w:rsid w:val="005A19B8"/>
    <w:rsid w:val="005A37B6"/>
    <w:rsid w:val="005A407B"/>
    <w:rsid w:val="005A53DF"/>
    <w:rsid w:val="005B0533"/>
    <w:rsid w:val="005B2856"/>
    <w:rsid w:val="005B3F50"/>
    <w:rsid w:val="005C1BC1"/>
    <w:rsid w:val="005C210E"/>
    <w:rsid w:val="005C7F1A"/>
    <w:rsid w:val="005D25D8"/>
    <w:rsid w:val="005D7572"/>
    <w:rsid w:val="005D78A1"/>
    <w:rsid w:val="005E71A2"/>
    <w:rsid w:val="005F19CB"/>
    <w:rsid w:val="005F2B0A"/>
    <w:rsid w:val="005F37FF"/>
    <w:rsid w:val="005F4704"/>
    <w:rsid w:val="00602B7D"/>
    <w:rsid w:val="00604039"/>
    <w:rsid w:val="006101D9"/>
    <w:rsid w:val="006106C3"/>
    <w:rsid w:val="00612158"/>
    <w:rsid w:val="00614D37"/>
    <w:rsid w:val="006158FA"/>
    <w:rsid w:val="00632037"/>
    <w:rsid w:val="006328D6"/>
    <w:rsid w:val="00632E2B"/>
    <w:rsid w:val="00632FC3"/>
    <w:rsid w:val="006339ED"/>
    <w:rsid w:val="006464A6"/>
    <w:rsid w:val="006508A4"/>
    <w:rsid w:val="006525A9"/>
    <w:rsid w:val="0065324A"/>
    <w:rsid w:val="00653F4F"/>
    <w:rsid w:val="00662490"/>
    <w:rsid w:val="006670A4"/>
    <w:rsid w:val="006713E1"/>
    <w:rsid w:val="006720A8"/>
    <w:rsid w:val="00675B96"/>
    <w:rsid w:val="00690B5E"/>
    <w:rsid w:val="006939D7"/>
    <w:rsid w:val="00693E22"/>
    <w:rsid w:val="0069563A"/>
    <w:rsid w:val="00695A03"/>
    <w:rsid w:val="006A17DD"/>
    <w:rsid w:val="006A4948"/>
    <w:rsid w:val="006A4C60"/>
    <w:rsid w:val="006A6303"/>
    <w:rsid w:val="006B16A1"/>
    <w:rsid w:val="006B23E6"/>
    <w:rsid w:val="006B26D5"/>
    <w:rsid w:val="006B3946"/>
    <w:rsid w:val="006B3C05"/>
    <w:rsid w:val="006B43D7"/>
    <w:rsid w:val="006B60EC"/>
    <w:rsid w:val="006B72B7"/>
    <w:rsid w:val="006B7645"/>
    <w:rsid w:val="006C3981"/>
    <w:rsid w:val="006D27D0"/>
    <w:rsid w:val="006D46F7"/>
    <w:rsid w:val="006E2AA7"/>
    <w:rsid w:val="006E3B69"/>
    <w:rsid w:val="006E3F6F"/>
    <w:rsid w:val="006E3FA4"/>
    <w:rsid w:val="006E6128"/>
    <w:rsid w:val="006E783D"/>
    <w:rsid w:val="006F00C3"/>
    <w:rsid w:val="006F26B3"/>
    <w:rsid w:val="006F427A"/>
    <w:rsid w:val="006F4CFE"/>
    <w:rsid w:val="006F645A"/>
    <w:rsid w:val="007005E4"/>
    <w:rsid w:val="00701BB5"/>
    <w:rsid w:val="007032A7"/>
    <w:rsid w:val="00703680"/>
    <w:rsid w:val="007078C7"/>
    <w:rsid w:val="0071167A"/>
    <w:rsid w:val="00711A5B"/>
    <w:rsid w:val="00711B33"/>
    <w:rsid w:val="00712936"/>
    <w:rsid w:val="00713810"/>
    <w:rsid w:val="0071460A"/>
    <w:rsid w:val="0071777D"/>
    <w:rsid w:val="00721492"/>
    <w:rsid w:val="007243B8"/>
    <w:rsid w:val="007270C7"/>
    <w:rsid w:val="00727C4B"/>
    <w:rsid w:val="00740A31"/>
    <w:rsid w:val="00740EEE"/>
    <w:rsid w:val="00742D9C"/>
    <w:rsid w:val="007459E6"/>
    <w:rsid w:val="0074785A"/>
    <w:rsid w:val="00752882"/>
    <w:rsid w:val="0075323E"/>
    <w:rsid w:val="007549CC"/>
    <w:rsid w:val="00761180"/>
    <w:rsid w:val="00773C96"/>
    <w:rsid w:val="00773F58"/>
    <w:rsid w:val="00775BE6"/>
    <w:rsid w:val="00775F12"/>
    <w:rsid w:val="007806F8"/>
    <w:rsid w:val="00780F08"/>
    <w:rsid w:val="00781517"/>
    <w:rsid w:val="007818B7"/>
    <w:rsid w:val="0078201A"/>
    <w:rsid w:val="007821AA"/>
    <w:rsid w:val="00783567"/>
    <w:rsid w:val="00785F5B"/>
    <w:rsid w:val="007903A2"/>
    <w:rsid w:val="00790A49"/>
    <w:rsid w:val="00794AE4"/>
    <w:rsid w:val="00795FDF"/>
    <w:rsid w:val="007A0E3E"/>
    <w:rsid w:val="007A1904"/>
    <w:rsid w:val="007A45AC"/>
    <w:rsid w:val="007A6C76"/>
    <w:rsid w:val="007C1A3D"/>
    <w:rsid w:val="007D0C5E"/>
    <w:rsid w:val="007D249B"/>
    <w:rsid w:val="007E0BF9"/>
    <w:rsid w:val="007E2605"/>
    <w:rsid w:val="007E4196"/>
    <w:rsid w:val="007E4D94"/>
    <w:rsid w:val="007E627B"/>
    <w:rsid w:val="007E71CA"/>
    <w:rsid w:val="007E7F11"/>
    <w:rsid w:val="007F0576"/>
    <w:rsid w:val="007F1664"/>
    <w:rsid w:val="00801C4F"/>
    <w:rsid w:val="0080210D"/>
    <w:rsid w:val="00802B38"/>
    <w:rsid w:val="00805B62"/>
    <w:rsid w:val="008122CD"/>
    <w:rsid w:val="0081777A"/>
    <w:rsid w:val="008210DD"/>
    <w:rsid w:val="00821E36"/>
    <w:rsid w:val="008228B4"/>
    <w:rsid w:val="00822943"/>
    <w:rsid w:val="00832E90"/>
    <w:rsid w:val="00834FBB"/>
    <w:rsid w:val="008355D0"/>
    <w:rsid w:val="0084334C"/>
    <w:rsid w:val="00843F1C"/>
    <w:rsid w:val="0085278B"/>
    <w:rsid w:val="00853003"/>
    <w:rsid w:val="00853C49"/>
    <w:rsid w:val="00854EB0"/>
    <w:rsid w:val="008551E1"/>
    <w:rsid w:val="00856671"/>
    <w:rsid w:val="0085676F"/>
    <w:rsid w:val="00856871"/>
    <w:rsid w:val="0086010D"/>
    <w:rsid w:val="00860771"/>
    <w:rsid w:val="00861106"/>
    <w:rsid w:val="008632D5"/>
    <w:rsid w:val="00863C6D"/>
    <w:rsid w:val="00864612"/>
    <w:rsid w:val="00864859"/>
    <w:rsid w:val="008717AB"/>
    <w:rsid w:val="00873982"/>
    <w:rsid w:val="008757EA"/>
    <w:rsid w:val="0088049A"/>
    <w:rsid w:val="008845A4"/>
    <w:rsid w:val="0088600C"/>
    <w:rsid w:val="00886806"/>
    <w:rsid w:val="008920CA"/>
    <w:rsid w:val="0089409D"/>
    <w:rsid w:val="008A09B0"/>
    <w:rsid w:val="008A2875"/>
    <w:rsid w:val="008A53E2"/>
    <w:rsid w:val="008A60E7"/>
    <w:rsid w:val="008A6480"/>
    <w:rsid w:val="008B0F24"/>
    <w:rsid w:val="008B5E99"/>
    <w:rsid w:val="008B7181"/>
    <w:rsid w:val="008C134C"/>
    <w:rsid w:val="008C5770"/>
    <w:rsid w:val="008C792A"/>
    <w:rsid w:val="008D5B46"/>
    <w:rsid w:val="008D7307"/>
    <w:rsid w:val="008D7713"/>
    <w:rsid w:val="008E179D"/>
    <w:rsid w:val="008E4679"/>
    <w:rsid w:val="008E598D"/>
    <w:rsid w:val="008F2AC8"/>
    <w:rsid w:val="008F41FB"/>
    <w:rsid w:val="008F64E2"/>
    <w:rsid w:val="008F7042"/>
    <w:rsid w:val="009021CF"/>
    <w:rsid w:val="00902465"/>
    <w:rsid w:val="00903820"/>
    <w:rsid w:val="009049AA"/>
    <w:rsid w:val="00910116"/>
    <w:rsid w:val="00914BF3"/>
    <w:rsid w:val="00917390"/>
    <w:rsid w:val="009216E5"/>
    <w:rsid w:val="00926331"/>
    <w:rsid w:val="00930730"/>
    <w:rsid w:val="00936C08"/>
    <w:rsid w:val="00936C85"/>
    <w:rsid w:val="00936D3E"/>
    <w:rsid w:val="00950831"/>
    <w:rsid w:val="00953B3A"/>
    <w:rsid w:val="00955C16"/>
    <w:rsid w:val="00955EDD"/>
    <w:rsid w:val="00966420"/>
    <w:rsid w:val="00975BC7"/>
    <w:rsid w:val="00976E4F"/>
    <w:rsid w:val="00976EA1"/>
    <w:rsid w:val="00977886"/>
    <w:rsid w:val="009828D0"/>
    <w:rsid w:val="00983EE0"/>
    <w:rsid w:val="00991912"/>
    <w:rsid w:val="00993393"/>
    <w:rsid w:val="009942F0"/>
    <w:rsid w:val="00995740"/>
    <w:rsid w:val="00996A54"/>
    <w:rsid w:val="00997653"/>
    <w:rsid w:val="00997FFA"/>
    <w:rsid w:val="009A00CB"/>
    <w:rsid w:val="009A1106"/>
    <w:rsid w:val="009B098C"/>
    <w:rsid w:val="009B1E18"/>
    <w:rsid w:val="009B2BCD"/>
    <w:rsid w:val="009B506E"/>
    <w:rsid w:val="009B7158"/>
    <w:rsid w:val="009C0169"/>
    <w:rsid w:val="009C3E25"/>
    <w:rsid w:val="009C5455"/>
    <w:rsid w:val="009C54EE"/>
    <w:rsid w:val="009D26B1"/>
    <w:rsid w:val="009D2E0D"/>
    <w:rsid w:val="009D5201"/>
    <w:rsid w:val="009E0C42"/>
    <w:rsid w:val="009E4629"/>
    <w:rsid w:val="009E50D7"/>
    <w:rsid w:val="009E6484"/>
    <w:rsid w:val="009E66A9"/>
    <w:rsid w:val="009F0E60"/>
    <w:rsid w:val="009F2712"/>
    <w:rsid w:val="009F4CFB"/>
    <w:rsid w:val="009F555A"/>
    <w:rsid w:val="009F61DA"/>
    <w:rsid w:val="009F6E51"/>
    <w:rsid w:val="009F7EC6"/>
    <w:rsid w:val="00A02DA2"/>
    <w:rsid w:val="00A02FEA"/>
    <w:rsid w:val="00A048F5"/>
    <w:rsid w:val="00A11A59"/>
    <w:rsid w:val="00A146A0"/>
    <w:rsid w:val="00A17E6A"/>
    <w:rsid w:val="00A2165D"/>
    <w:rsid w:val="00A23AF6"/>
    <w:rsid w:val="00A27985"/>
    <w:rsid w:val="00A37849"/>
    <w:rsid w:val="00A4065D"/>
    <w:rsid w:val="00A45101"/>
    <w:rsid w:val="00A45497"/>
    <w:rsid w:val="00A45EBA"/>
    <w:rsid w:val="00A47A72"/>
    <w:rsid w:val="00A50A02"/>
    <w:rsid w:val="00A50DE9"/>
    <w:rsid w:val="00A52366"/>
    <w:rsid w:val="00A53459"/>
    <w:rsid w:val="00A535B2"/>
    <w:rsid w:val="00A55C18"/>
    <w:rsid w:val="00A666FA"/>
    <w:rsid w:val="00A674C4"/>
    <w:rsid w:val="00A717AF"/>
    <w:rsid w:val="00A76D21"/>
    <w:rsid w:val="00A8129B"/>
    <w:rsid w:val="00A81BF3"/>
    <w:rsid w:val="00A92352"/>
    <w:rsid w:val="00A95601"/>
    <w:rsid w:val="00AA663B"/>
    <w:rsid w:val="00AA6C5C"/>
    <w:rsid w:val="00AB1214"/>
    <w:rsid w:val="00AB166D"/>
    <w:rsid w:val="00AC6CC3"/>
    <w:rsid w:val="00AC70E5"/>
    <w:rsid w:val="00AC7F70"/>
    <w:rsid w:val="00AD31A9"/>
    <w:rsid w:val="00AD5817"/>
    <w:rsid w:val="00AD62F6"/>
    <w:rsid w:val="00AD6FA4"/>
    <w:rsid w:val="00AD78E7"/>
    <w:rsid w:val="00AE54B4"/>
    <w:rsid w:val="00AE7712"/>
    <w:rsid w:val="00AE7A21"/>
    <w:rsid w:val="00AF09A1"/>
    <w:rsid w:val="00AF1CDB"/>
    <w:rsid w:val="00AF219E"/>
    <w:rsid w:val="00AF470C"/>
    <w:rsid w:val="00AF4F7E"/>
    <w:rsid w:val="00AF5E71"/>
    <w:rsid w:val="00AF7ADD"/>
    <w:rsid w:val="00B0360F"/>
    <w:rsid w:val="00B03D80"/>
    <w:rsid w:val="00B068D7"/>
    <w:rsid w:val="00B07639"/>
    <w:rsid w:val="00B12B1D"/>
    <w:rsid w:val="00B13CED"/>
    <w:rsid w:val="00B141E5"/>
    <w:rsid w:val="00B173C1"/>
    <w:rsid w:val="00B1788E"/>
    <w:rsid w:val="00B20A02"/>
    <w:rsid w:val="00B2179B"/>
    <w:rsid w:val="00B22521"/>
    <w:rsid w:val="00B231CB"/>
    <w:rsid w:val="00B27CAB"/>
    <w:rsid w:val="00B378E9"/>
    <w:rsid w:val="00B4253E"/>
    <w:rsid w:val="00B46AAF"/>
    <w:rsid w:val="00B46CA3"/>
    <w:rsid w:val="00B503BE"/>
    <w:rsid w:val="00B55978"/>
    <w:rsid w:val="00B57B9B"/>
    <w:rsid w:val="00B61301"/>
    <w:rsid w:val="00B663ED"/>
    <w:rsid w:val="00B6679B"/>
    <w:rsid w:val="00B7057B"/>
    <w:rsid w:val="00B71222"/>
    <w:rsid w:val="00B80E67"/>
    <w:rsid w:val="00B826AF"/>
    <w:rsid w:val="00B860B5"/>
    <w:rsid w:val="00B8708B"/>
    <w:rsid w:val="00B90845"/>
    <w:rsid w:val="00B90E62"/>
    <w:rsid w:val="00B916F7"/>
    <w:rsid w:val="00B93088"/>
    <w:rsid w:val="00B935ED"/>
    <w:rsid w:val="00B94D6D"/>
    <w:rsid w:val="00B96C59"/>
    <w:rsid w:val="00B97CBE"/>
    <w:rsid w:val="00BA01EA"/>
    <w:rsid w:val="00BA27F6"/>
    <w:rsid w:val="00BA74C0"/>
    <w:rsid w:val="00BB0E4C"/>
    <w:rsid w:val="00BB1DEA"/>
    <w:rsid w:val="00BB23A5"/>
    <w:rsid w:val="00BB560B"/>
    <w:rsid w:val="00BB5909"/>
    <w:rsid w:val="00BC09EA"/>
    <w:rsid w:val="00BC570F"/>
    <w:rsid w:val="00BC6292"/>
    <w:rsid w:val="00BC742E"/>
    <w:rsid w:val="00BD1579"/>
    <w:rsid w:val="00BD2D31"/>
    <w:rsid w:val="00BD4BD7"/>
    <w:rsid w:val="00BE0D2A"/>
    <w:rsid w:val="00BE3587"/>
    <w:rsid w:val="00BE6A21"/>
    <w:rsid w:val="00BF1A5F"/>
    <w:rsid w:val="00BF3C7E"/>
    <w:rsid w:val="00BF52C6"/>
    <w:rsid w:val="00C102F6"/>
    <w:rsid w:val="00C10528"/>
    <w:rsid w:val="00C125EE"/>
    <w:rsid w:val="00C14CF9"/>
    <w:rsid w:val="00C16B1B"/>
    <w:rsid w:val="00C2759E"/>
    <w:rsid w:val="00C27DF9"/>
    <w:rsid w:val="00C37AD9"/>
    <w:rsid w:val="00C37D3E"/>
    <w:rsid w:val="00C40D65"/>
    <w:rsid w:val="00C505C0"/>
    <w:rsid w:val="00C50744"/>
    <w:rsid w:val="00C51A6F"/>
    <w:rsid w:val="00C521E7"/>
    <w:rsid w:val="00C529F9"/>
    <w:rsid w:val="00C5546D"/>
    <w:rsid w:val="00C560B9"/>
    <w:rsid w:val="00C57816"/>
    <w:rsid w:val="00C6010F"/>
    <w:rsid w:val="00C65C29"/>
    <w:rsid w:val="00C74605"/>
    <w:rsid w:val="00C76B14"/>
    <w:rsid w:val="00C80EB4"/>
    <w:rsid w:val="00C82207"/>
    <w:rsid w:val="00C83676"/>
    <w:rsid w:val="00C856A3"/>
    <w:rsid w:val="00C8672F"/>
    <w:rsid w:val="00C91F3D"/>
    <w:rsid w:val="00CA2C15"/>
    <w:rsid w:val="00CA42D5"/>
    <w:rsid w:val="00CA447D"/>
    <w:rsid w:val="00CA57A7"/>
    <w:rsid w:val="00CA5D7F"/>
    <w:rsid w:val="00CA5E95"/>
    <w:rsid w:val="00CB127A"/>
    <w:rsid w:val="00CB489E"/>
    <w:rsid w:val="00CB68CE"/>
    <w:rsid w:val="00CC0AD6"/>
    <w:rsid w:val="00CC5B04"/>
    <w:rsid w:val="00CC6F01"/>
    <w:rsid w:val="00CC7DD9"/>
    <w:rsid w:val="00CD22DE"/>
    <w:rsid w:val="00CD3536"/>
    <w:rsid w:val="00CD4222"/>
    <w:rsid w:val="00CD7764"/>
    <w:rsid w:val="00CE152B"/>
    <w:rsid w:val="00CE5688"/>
    <w:rsid w:val="00CE65EA"/>
    <w:rsid w:val="00CE7AED"/>
    <w:rsid w:val="00CF19DE"/>
    <w:rsid w:val="00CF744E"/>
    <w:rsid w:val="00D01D03"/>
    <w:rsid w:val="00D0332A"/>
    <w:rsid w:val="00D066E4"/>
    <w:rsid w:val="00D104AE"/>
    <w:rsid w:val="00D14ABC"/>
    <w:rsid w:val="00D14D29"/>
    <w:rsid w:val="00D15C63"/>
    <w:rsid w:val="00D177EF"/>
    <w:rsid w:val="00D17966"/>
    <w:rsid w:val="00D223E9"/>
    <w:rsid w:val="00D248E7"/>
    <w:rsid w:val="00D32349"/>
    <w:rsid w:val="00D32EA6"/>
    <w:rsid w:val="00D368D9"/>
    <w:rsid w:val="00D42D9D"/>
    <w:rsid w:val="00D448FA"/>
    <w:rsid w:val="00D450F8"/>
    <w:rsid w:val="00D46EBF"/>
    <w:rsid w:val="00D47D9D"/>
    <w:rsid w:val="00D5027E"/>
    <w:rsid w:val="00D50531"/>
    <w:rsid w:val="00D51B70"/>
    <w:rsid w:val="00D54CFA"/>
    <w:rsid w:val="00D56347"/>
    <w:rsid w:val="00D57983"/>
    <w:rsid w:val="00D65886"/>
    <w:rsid w:val="00D72C4E"/>
    <w:rsid w:val="00D760B4"/>
    <w:rsid w:val="00D76486"/>
    <w:rsid w:val="00D76F08"/>
    <w:rsid w:val="00D774D6"/>
    <w:rsid w:val="00D86897"/>
    <w:rsid w:val="00D902FE"/>
    <w:rsid w:val="00D90778"/>
    <w:rsid w:val="00D94149"/>
    <w:rsid w:val="00D94C7B"/>
    <w:rsid w:val="00D96805"/>
    <w:rsid w:val="00D97800"/>
    <w:rsid w:val="00DA1B92"/>
    <w:rsid w:val="00DA44C3"/>
    <w:rsid w:val="00DB0596"/>
    <w:rsid w:val="00DB1BB5"/>
    <w:rsid w:val="00DB2135"/>
    <w:rsid w:val="00DB49B0"/>
    <w:rsid w:val="00DB7DA4"/>
    <w:rsid w:val="00DC2227"/>
    <w:rsid w:val="00DC33FF"/>
    <w:rsid w:val="00DC5346"/>
    <w:rsid w:val="00DC6662"/>
    <w:rsid w:val="00DC6F09"/>
    <w:rsid w:val="00DC6F98"/>
    <w:rsid w:val="00DD08E0"/>
    <w:rsid w:val="00DD27A2"/>
    <w:rsid w:val="00DE1E2E"/>
    <w:rsid w:val="00DE2D45"/>
    <w:rsid w:val="00DE3984"/>
    <w:rsid w:val="00DE426F"/>
    <w:rsid w:val="00DE699A"/>
    <w:rsid w:val="00DE6F5E"/>
    <w:rsid w:val="00DE78E5"/>
    <w:rsid w:val="00DF0F47"/>
    <w:rsid w:val="00DF119F"/>
    <w:rsid w:val="00DF42A4"/>
    <w:rsid w:val="00E00DD6"/>
    <w:rsid w:val="00E01387"/>
    <w:rsid w:val="00E02359"/>
    <w:rsid w:val="00E0509F"/>
    <w:rsid w:val="00E07786"/>
    <w:rsid w:val="00E13CA5"/>
    <w:rsid w:val="00E1621E"/>
    <w:rsid w:val="00E177FE"/>
    <w:rsid w:val="00E23FE2"/>
    <w:rsid w:val="00E2404B"/>
    <w:rsid w:val="00E32787"/>
    <w:rsid w:val="00E334F4"/>
    <w:rsid w:val="00E3372F"/>
    <w:rsid w:val="00E36EC3"/>
    <w:rsid w:val="00E40295"/>
    <w:rsid w:val="00E42F2F"/>
    <w:rsid w:val="00E43593"/>
    <w:rsid w:val="00E475BD"/>
    <w:rsid w:val="00E5386C"/>
    <w:rsid w:val="00E63B19"/>
    <w:rsid w:val="00E725D7"/>
    <w:rsid w:val="00E733EA"/>
    <w:rsid w:val="00E73A52"/>
    <w:rsid w:val="00E74DA6"/>
    <w:rsid w:val="00E75117"/>
    <w:rsid w:val="00E76B7A"/>
    <w:rsid w:val="00E815EF"/>
    <w:rsid w:val="00E8282E"/>
    <w:rsid w:val="00E836B2"/>
    <w:rsid w:val="00E83EA4"/>
    <w:rsid w:val="00E8711B"/>
    <w:rsid w:val="00E8735C"/>
    <w:rsid w:val="00E9214D"/>
    <w:rsid w:val="00E9582C"/>
    <w:rsid w:val="00E966FC"/>
    <w:rsid w:val="00E96A66"/>
    <w:rsid w:val="00EA1737"/>
    <w:rsid w:val="00EA1846"/>
    <w:rsid w:val="00EA2ED1"/>
    <w:rsid w:val="00EA43A9"/>
    <w:rsid w:val="00EA6AF5"/>
    <w:rsid w:val="00EA75BF"/>
    <w:rsid w:val="00EB3822"/>
    <w:rsid w:val="00EB3858"/>
    <w:rsid w:val="00EB491B"/>
    <w:rsid w:val="00EB4B28"/>
    <w:rsid w:val="00EB5460"/>
    <w:rsid w:val="00EB7B55"/>
    <w:rsid w:val="00EC02EE"/>
    <w:rsid w:val="00EC1D29"/>
    <w:rsid w:val="00EC1DAD"/>
    <w:rsid w:val="00ED0F5D"/>
    <w:rsid w:val="00ED337F"/>
    <w:rsid w:val="00ED367C"/>
    <w:rsid w:val="00EE3067"/>
    <w:rsid w:val="00EE5757"/>
    <w:rsid w:val="00EE5C7F"/>
    <w:rsid w:val="00EF57B7"/>
    <w:rsid w:val="00EF68F4"/>
    <w:rsid w:val="00F02234"/>
    <w:rsid w:val="00F02957"/>
    <w:rsid w:val="00F0710B"/>
    <w:rsid w:val="00F10EA8"/>
    <w:rsid w:val="00F13A7C"/>
    <w:rsid w:val="00F15177"/>
    <w:rsid w:val="00F17423"/>
    <w:rsid w:val="00F2599D"/>
    <w:rsid w:val="00F277AC"/>
    <w:rsid w:val="00F3511F"/>
    <w:rsid w:val="00F366A7"/>
    <w:rsid w:val="00F41E0B"/>
    <w:rsid w:val="00F45592"/>
    <w:rsid w:val="00F46635"/>
    <w:rsid w:val="00F5353B"/>
    <w:rsid w:val="00F54AB7"/>
    <w:rsid w:val="00F55949"/>
    <w:rsid w:val="00F55A59"/>
    <w:rsid w:val="00F63062"/>
    <w:rsid w:val="00F63A27"/>
    <w:rsid w:val="00F63B54"/>
    <w:rsid w:val="00F65A35"/>
    <w:rsid w:val="00F665F3"/>
    <w:rsid w:val="00F66B20"/>
    <w:rsid w:val="00F73050"/>
    <w:rsid w:val="00F74839"/>
    <w:rsid w:val="00F8032D"/>
    <w:rsid w:val="00F81EB9"/>
    <w:rsid w:val="00F82332"/>
    <w:rsid w:val="00F906EE"/>
    <w:rsid w:val="00F90A26"/>
    <w:rsid w:val="00F91F92"/>
    <w:rsid w:val="00F94D42"/>
    <w:rsid w:val="00F9714F"/>
    <w:rsid w:val="00F97280"/>
    <w:rsid w:val="00FA0CB9"/>
    <w:rsid w:val="00FA190B"/>
    <w:rsid w:val="00FB0BDE"/>
    <w:rsid w:val="00FB19E6"/>
    <w:rsid w:val="00FB4968"/>
    <w:rsid w:val="00FB636D"/>
    <w:rsid w:val="00FB65DA"/>
    <w:rsid w:val="00FB686F"/>
    <w:rsid w:val="00FB77C7"/>
    <w:rsid w:val="00FC10EF"/>
    <w:rsid w:val="00FC12A3"/>
    <w:rsid w:val="00FC2326"/>
    <w:rsid w:val="00FC2BB6"/>
    <w:rsid w:val="00FC2C3F"/>
    <w:rsid w:val="00FC3F58"/>
    <w:rsid w:val="00FC48EC"/>
    <w:rsid w:val="00FC4A5A"/>
    <w:rsid w:val="00FC55BE"/>
    <w:rsid w:val="00FD1375"/>
    <w:rsid w:val="00FD37A9"/>
    <w:rsid w:val="00FD531E"/>
    <w:rsid w:val="00FD7210"/>
    <w:rsid w:val="00FD78DC"/>
    <w:rsid w:val="00FE0AEE"/>
    <w:rsid w:val="00FE2217"/>
    <w:rsid w:val="00FE3E5B"/>
    <w:rsid w:val="00FE3E95"/>
    <w:rsid w:val="00FE4E5F"/>
    <w:rsid w:val="00FE54A2"/>
    <w:rsid w:val="00FE5750"/>
    <w:rsid w:val="00FE5E3E"/>
    <w:rsid w:val="00FF0899"/>
    <w:rsid w:val="00FF28AB"/>
    <w:rsid w:val="00FF5F2A"/>
    <w:rsid w:val="00FF6442"/>
    <w:rsid w:val="01027192"/>
    <w:rsid w:val="0A99DFC5"/>
    <w:rsid w:val="12B2A4DC"/>
    <w:rsid w:val="13EE86D6"/>
    <w:rsid w:val="1B38913A"/>
    <w:rsid w:val="28F8C1D3"/>
    <w:rsid w:val="32C9E91D"/>
    <w:rsid w:val="3E217F0E"/>
    <w:rsid w:val="72D9B7DC"/>
    <w:rsid w:val="7C3D84FF"/>
    <w:rsid w:val="7FB24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D9F46"/>
  <w15:chartTrackingRefBased/>
  <w15:docId w15:val="{F03265C6-FDF5-45F0-A9B3-0434E84C1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5ED"/>
    <w:pPr>
      <w:spacing w:after="0" w:line="240" w:lineRule="auto"/>
    </w:pPr>
    <w:rPr>
      <w:rFonts w:ascii="Times New Roman" w:eastAsia="PMingLiU" w:hAnsi="Times New Roman" w:cs="Times New Roman"/>
      <w:kern w:val="0"/>
      <w:lang w:val="en-US"/>
      <w14:ligatures w14:val="none"/>
    </w:rPr>
  </w:style>
  <w:style w:type="paragraph" w:styleId="Heading1">
    <w:name w:val="heading 1"/>
    <w:basedOn w:val="Normal"/>
    <w:next w:val="Normal"/>
    <w:link w:val="Heading1Char"/>
    <w:uiPriority w:val="9"/>
    <w:qFormat/>
    <w:rsid w:val="00B935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35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35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35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35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35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35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35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35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5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35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35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35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35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35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35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35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35ED"/>
    <w:rPr>
      <w:rFonts w:eastAsiaTheme="majorEastAsia" w:cstheme="majorBidi"/>
      <w:color w:val="272727" w:themeColor="text1" w:themeTint="D8"/>
    </w:rPr>
  </w:style>
  <w:style w:type="paragraph" w:styleId="Title">
    <w:name w:val="Title"/>
    <w:basedOn w:val="Normal"/>
    <w:next w:val="Normal"/>
    <w:link w:val="TitleChar"/>
    <w:uiPriority w:val="10"/>
    <w:qFormat/>
    <w:rsid w:val="00B935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35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35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35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35ED"/>
    <w:pPr>
      <w:spacing w:before="160"/>
      <w:jc w:val="center"/>
    </w:pPr>
    <w:rPr>
      <w:i/>
      <w:iCs/>
      <w:color w:val="404040" w:themeColor="text1" w:themeTint="BF"/>
    </w:rPr>
  </w:style>
  <w:style w:type="character" w:customStyle="1" w:styleId="QuoteChar">
    <w:name w:val="Quote Char"/>
    <w:basedOn w:val="DefaultParagraphFont"/>
    <w:link w:val="Quote"/>
    <w:uiPriority w:val="29"/>
    <w:rsid w:val="00B935ED"/>
    <w:rPr>
      <w:i/>
      <w:iCs/>
      <w:color w:val="404040" w:themeColor="text1" w:themeTint="BF"/>
    </w:rPr>
  </w:style>
  <w:style w:type="paragraph" w:styleId="ListParagraph">
    <w:name w:val="List Paragraph"/>
    <w:basedOn w:val="Normal"/>
    <w:uiPriority w:val="34"/>
    <w:qFormat/>
    <w:rsid w:val="00B935ED"/>
    <w:pPr>
      <w:ind w:left="720"/>
      <w:contextualSpacing/>
    </w:pPr>
  </w:style>
  <w:style w:type="character" w:styleId="IntenseEmphasis">
    <w:name w:val="Intense Emphasis"/>
    <w:basedOn w:val="DefaultParagraphFont"/>
    <w:uiPriority w:val="21"/>
    <w:qFormat/>
    <w:rsid w:val="00B935ED"/>
    <w:rPr>
      <w:i/>
      <w:iCs/>
      <w:color w:val="0F4761" w:themeColor="accent1" w:themeShade="BF"/>
    </w:rPr>
  </w:style>
  <w:style w:type="paragraph" w:styleId="IntenseQuote">
    <w:name w:val="Intense Quote"/>
    <w:basedOn w:val="Normal"/>
    <w:next w:val="Normal"/>
    <w:link w:val="IntenseQuoteChar"/>
    <w:uiPriority w:val="30"/>
    <w:qFormat/>
    <w:rsid w:val="00B935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35ED"/>
    <w:rPr>
      <w:i/>
      <w:iCs/>
      <w:color w:val="0F4761" w:themeColor="accent1" w:themeShade="BF"/>
    </w:rPr>
  </w:style>
  <w:style w:type="character" w:styleId="IntenseReference">
    <w:name w:val="Intense Reference"/>
    <w:basedOn w:val="DefaultParagraphFont"/>
    <w:uiPriority w:val="32"/>
    <w:qFormat/>
    <w:rsid w:val="00B935ED"/>
    <w:rPr>
      <w:b/>
      <w:bCs/>
      <w:smallCaps/>
      <w:color w:val="0F4761" w:themeColor="accent1" w:themeShade="BF"/>
      <w:spacing w:val="5"/>
    </w:rPr>
  </w:style>
  <w:style w:type="paragraph" w:styleId="Revision">
    <w:name w:val="Revision"/>
    <w:hidden/>
    <w:uiPriority w:val="99"/>
    <w:semiHidden/>
    <w:rsid w:val="003B5038"/>
    <w:pPr>
      <w:spacing w:after="0" w:line="240" w:lineRule="auto"/>
    </w:pPr>
    <w:rPr>
      <w:rFonts w:ascii="Times New Roman" w:eastAsia="PMingLiU" w:hAnsi="Times New Roman" w:cs="Times New Roman"/>
      <w:kern w:val="0"/>
      <w:lang w:val="en-US"/>
      <w14:ligatures w14:val="none"/>
    </w:rPr>
  </w:style>
  <w:style w:type="character" w:styleId="Hyperlink">
    <w:name w:val="Hyperlink"/>
    <w:basedOn w:val="DefaultParagraphFont"/>
    <w:uiPriority w:val="99"/>
    <w:unhideWhenUsed/>
    <w:rsid w:val="003B5038"/>
    <w:rPr>
      <w:color w:val="467886" w:themeColor="hyperlink"/>
      <w:u w:val="single"/>
    </w:rPr>
  </w:style>
  <w:style w:type="character" w:styleId="UnresolvedMention">
    <w:name w:val="Unresolved Mention"/>
    <w:basedOn w:val="DefaultParagraphFont"/>
    <w:uiPriority w:val="99"/>
    <w:semiHidden/>
    <w:unhideWhenUsed/>
    <w:rsid w:val="003B5038"/>
    <w:rPr>
      <w:color w:val="605E5C"/>
      <w:shd w:val="clear" w:color="auto" w:fill="E1DFDD"/>
    </w:rPr>
  </w:style>
  <w:style w:type="paragraph" w:styleId="FootnoteText">
    <w:name w:val="footnote text"/>
    <w:basedOn w:val="Normal"/>
    <w:link w:val="FootnoteTextChar"/>
    <w:uiPriority w:val="99"/>
    <w:semiHidden/>
    <w:unhideWhenUsed/>
    <w:rsid w:val="00446B00"/>
    <w:rPr>
      <w:sz w:val="20"/>
      <w:szCs w:val="20"/>
    </w:rPr>
  </w:style>
  <w:style w:type="character" w:customStyle="1" w:styleId="FootnoteTextChar">
    <w:name w:val="Footnote Text Char"/>
    <w:basedOn w:val="DefaultParagraphFont"/>
    <w:link w:val="FootnoteText"/>
    <w:uiPriority w:val="99"/>
    <w:semiHidden/>
    <w:rsid w:val="00446B00"/>
    <w:rPr>
      <w:rFonts w:ascii="Times New Roman" w:eastAsia="PMingLiU"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446B00"/>
    <w:rPr>
      <w:vertAlign w:val="superscript"/>
    </w:rPr>
  </w:style>
  <w:style w:type="character" w:styleId="FollowedHyperlink">
    <w:name w:val="FollowedHyperlink"/>
    <w:basedOn w:val="DefaultParagraphFont"/>
    <w:uiPriority w:val="99"/>
    <w:semiHidden/>
    <w:unhideWhenUsed/>
    <w:rsid w:val="002F3988"/>
    <w:rPr>
      <w:color w:val="96607D" w:themeColor="followedHyperlink"/>
      <w:u w:val="single"/>
    </w:rPr>
  </w:style>
  <w:style w:type="paragraph" w:styleId="Header">
    <w:name w:val="header"/>
    <w:basedOn w:val="Normal"/>
    <w:link w:val="HeaderChar"/>
    <w:uiPriority w:val="99"/>
    <w:unhideWhenUsed/>
    <w:rsid w:val="007A1904"/>
    <w:pPr>
      <w:tabs>
        <w:tab w:val="center" w:pos="4513"/>
        <w:tab w:val="right" w:pos="9026"/>
      </w:tabs>
    </w:pPr>
  </w:style>
  <w:style w:type="character" w:customStyle="1" w:styleId="HeaderChar">
    <w:name w:val="Header Char"/>
    <w:basedOn w:val="DefaultParagraphFont"/>
    <w:link w:val="Header"/>
    <w:uiPriority w:val="99"/>
    <w:rsid w:val="007A1904"/>
    <w:rPr>
      <w:rFonts w:ascii="Times New Roman" w:eastAsia="PMingLiU" w:hAnsi="Times New Roman" w:cs="Times New Roman"/>
      <w:kern w:val="0"/>
      <w:lang w:val="en-US"/>
      <w14:ligatures w14:val="none"/>
    </w:rPr>
  </w:style>
  <w:style w:type="paragraph" w:styleId="Footer">
    <w:name w:val="footer"/>
    <w:basedOn w:val="Normal"/>
    <w:link w:val="FooterChar"/>
    <w:uiPriority w:val="99"/>
    <w:unhideWhenUsed/>
    <w:rsid w:val="007A1904"/>
    <w:pPr>
      <w:tabs>
        <w:tab w:val="center" w:pos="4513"/>
        <w:tab w:val="right" w:pos="9026"/>
      </w:tabs>
    </w:pPr>
  </w:style>
  <w:style w:type="character" w:customStyle="1" w:styleId="FooterChar">
    <w:name w:val="Footer Char"/>
    <w:basedOn w:val="DefaultParagraphFont"/>
    <w:link w:val="Footer"/>
    <w:uiPriority w:val="99"/>
    <w:rsid w:val="007A1904"/>
    <w:rPr>
      <w:rFonts w:ascii="Times New Roman" w:eastAsia="PMingLiU" w:hAnsi="Times New Roman" w:cs="Times New Roman"/>
      <w:kern w:val="0"/>
      <w:lang w:val="en-US"/>
      <w14:ligatures w14:val="none"/>
    </w:rPr>
  </w:style>
  <w:style w:type="character" w:styleId="CommentReference">
    <w:name w:val="annotation reference"/>
    <w:basedOn w:val="DefaultParagraphFont"/>
    <w:uiPriority w:val="99"/>
    <w:semiHidden/>
    <w:unhideWhenUsed/>
    <w:rsid w:val="00F0710B"/>
    <w:rPr>
      <w:sz w:val="16"/>
      <w:szCs w:val="16"/>
    </w:rPr>
  </w:style>
  <w:style w:type="paragraph" w:styleId="CommentText">
    <w:name w:val="annotation text"/>
    <w:basedOn w:val="Normal"/>
    <w:link w:val="CommentTextChar"/>
    <w:uiPriority w:val="99"/>
    <w:unhideWhenUsed/>
    <w:rsid w:val="00F0710B"/>
    <w:rPr>
      <w:sz w:val="20"/>
      <w:szCs w:val="20"/>
    </w:rPr>
  </w:style>
  <w:style w:type="character" w:customStyle="1" w:styleId="CommentTextChar">
    <w:name w:val="Comment Text Char"/>
    <w:basedOn w:val="DefaultParagraphFont"/>
    <w:link w:val="CommentText"/>
    <w:uiPriority w:val="99"/>
    <w:rsid w:val="00F0710B"/>
    <w:rPr>
      <w:rFonts w:ascii="Times New Roman" w:eastAsia="PMingLiU"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0710B"/>
    <w:rPr>
      <w:b/>
      <w:bCs/>
    </w:rPr>
  </w:style>
  <w:style w:type="character" w:customStyle="1" w:styleId="CommentSubjectChar">
    <w:name w:val="Comment Subject Char"/>
    <w:basedOn w:val="CommentTextChar"/>
    <w:link w:val="CommentSubject"/>
    <w:uiPriority w:val="99"/>
    <w:semiHidden/>
    <w:rsid w:val="00F0710B"/>
    <w:rPr>
      <w:rFonts w:ascii="Times New Roman" w:eastAsia="PMingLiU" w:hAnsi="Times New Roman" w:cs="Times New Roman"/>
      <w:b/>
      <w:bCs/>
      <w:kern w:val="0"/>
      <w:sz w:val="20"/>
      <w:szCs w:val="20"/>
      <w:lang w:val="en-US"/>
      <w14:ligatures w14:val="none"/>
    </w:rPr>
  </w:style>
  <w:style w:type="paragraph" w:styleId="EndnoteText">
    <w:name w:val="endnote text"/>
    <w:basedOn w:val="Normal"/>
    <w:link w:val="EndnoteTextChar"/>
    <w:uiPriority w:val="99"/>
    <w:semiHidden/>
    <w:unhideWhenUsed/>
    <w:rsid w:val="00AF7ADD"/>
    <w:rPr>
      <w:sz w:val="20"/>
      <w:szCs w:val="20"/>
    </w:rPr>
  </w:style>
  <w:style w:type="character" w:customStyle="1" w:styleId="EndnoteTextChar">
    <w:name w:val="Endnote Text Char"/>
    <w:basedOn w:val="DefaultParagraphFont"/>
    <w:link w:val="EndnoteText"/>
    <w:uiPriority w:val="99"/>
    <w:semiHidden/>
    <w:rsid w:val="00AF7ADD"/>
    <w:rPr>
      <w:rFonts w:ascii="Times New Roman" w:eastAsia="PMingLiU" w:hAnsi="Times New Roman" w:cs="Times New Roman"/>
      <w:kern w:val="0"/>
      <w:sz w:val="20"/>
      <w:szCs w:val="20"/>
      <w:lang w:val="en-US"/>
      <w14:ligatures w14:val="none"/>
    </w:rPr>
  </w:style>
  <w:style w:type="character" w:styleId="EndnoteReference">
    <w:name w:val="endnote reference"/>
    <w:basedOn w:val="DefaultParagraphFont"/>
    <w:uiPriority w:val="99"/>
    <w:semiHidden/>
    <w:unhideWhenUsed/>
    <w:rsid w:val="00AF7ADD"/>
    <w:rPr>
      <w:vertAlign w:val="superscript"/>
    </w:rPr>
  </w:style>
  <w:style w:type="paragraph" w:styleId="NormalWeb">
    <w:name w:val="Normal (Web)"/>
    <w:basedOn w:val="Normal"/>
    <w:uiPriority w:val="99"/>
    <w:semiHidden/>
    <w:unhideWhenUsed/>
    <w:rsid w:val="00727C4B"/>
    <w:rPr>
      <w:sz w:val="24"/>
      <w:szCs w:val="24"/>
    </w:rPr>
  </w:style>
  <w:style w:type="character" w:styleId="Mention">
    <w:name w:val="Mention"/>
    <w:basedOn w:val="DefaultParagraphFont"/>
    <w:uiPriority w:val="99"/>
    <w:unhideWhenUsed/>
    <w:rsid w:val="00F972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21848">
      <w:bodyDiv w:val="1"/>
      <w:marLeft w:val="0"/>
      <w:marRight w:val="0"/>
      <w:marTop w:val="0"/>
      <w:marBottom w:val="0"/>
      <w:divBdr>
        <w:top w:val="none" w:sz="0" w:space="0" w:color="auto"/>
        <w:left w:val="none" w:sz="0" w:space="0" w:color="auto"/>
        <w:bottom w:val="none" w:sz="0" w:space="0" w:color="auto"/>
        <w:right w:val="none" w:sz="0" w:space="0" w:color="auto"/>
      </w:divBdr>
    </w:div>
    <w:div w:id="312416607">
      <w:bodyDiv w:val="1"/>
      <w:marLeft w:val="0"/>
      <w:marRight w:val="0"/>
      <w:marTop w:val="0"/>
      <w:marBottom w:val="0"/>
      <w:divBdr>
        <w:top w:val="none" w:sz="0" w:space="0" w:color="auto"/>
        <w:left w:val="none" w:sz="0" w:space="0" w:color="auto"/>
        <w:bottom w:val="none" w:sz="0" w:space="0" w:color="auto"/>
        <w:right w:val="none" w:sz="0" w:space="0" w:color="auto"/>
      </w:divBdr>
    </w:div>
    <w:div w:id="396318801">
      <w:bodyDiv w:val="1"/>
      <w:marLeft w:val="0"/>
      <w:marRight w:val="0"/>
      <w:marTop w:val="0"/>
      <w:marBottom w:val="0"/>
      <w:divBdr>
        <w:top w:val="none" w:sz="0" w:space="0" w:color="auto"/>
        <w:left w:val="none" w:sz="0" w:space="0" w:color="auto"/>
        <w:bottom w:val="none" w:sz="0" w:space="0" w:color="auto"/>
        <w:right w:val="none" w:sz="0" w:space="0" w:color="auto"/>
      </w:divBdr>
    </w:div>
    <w:div w:id="994837815">
      <w:bodyDiv w:val="1"/>
      <w:marLeft w:val="0"/>
      <w:marRight w:val="0"/>
      <w:marTop w:val="0"/>
      <w:marBottom w:val="0"/>
      <w:divBdr>
        <w:top w:val="none" w:sz="0" w:space="0" w:color="auto"/>
        <w:left w:val="none" w:sz="0" w:space="0" w:color="auto"/>
        <w:bottom w:val="none" w:sz="0" w:space="0" w:color="auto"/>
        <w:right w:val="none" w:sz="0" w:space="0" w:color="auto"/>
      </w:divBdr>
    </w:div>
    <w:div w:id="1514101978">
      <w:bodyDiv w:val="1"/>
      <w:marLeft w:val="0"/>
      <w:marRight w:val="0"/>
      <w:marTop w:val="0"/>
      <w:marBottom w:val="0"/>
      <w:divBdr>
        <w:top w:val="none" w:sz="0" w:space="0" w:color="auto"/>
        <w:left w:val="none" w:sz="0" w:space="0" w:color="auto"/>
        <w:bottom w:val="none" w:sz="0" w:space="0" w:color="auto"/>
        <w:right w:val="none" w:sz="0" w:space="0" w:color="auto"/>
      </w:divBdr>
    </w:div>
    <w:div w:id="1769765025">
      <w:bodyDiv w:val="1"/>
      <w:marLeft w:val="0"/>
      <w:marRight w:val="0"/>
      <w:marTop w:val="0"/>
      <w:marBottom w:val="0"/>
      <w:divBdr>
        <w:top w:val="none" w:sz="0" w:space="0" w:color="auto"/>
        <w:left w:val="none" w:sz="0" w:space="0" w:color="auto"/>
        <w:bottom w:val="none" w:sz="0" w:space="0" w:color="auto"/>
        <w:right w:val="none" w:sz="0" w:space="0" w:color="auto"/>
      </w:divBdr>
      <w:divsChild>
        <w:div w:id="9996993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18894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1254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1499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73587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2969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pre-action-protocol-for-judicial-review" TargetMode="External"/><Relationship Id="rId18" Type="http://schemas.openxmlformats.org/officeDocument/2006/relationships/hyperlink" Target="mailto:DUC@administrativecourtoffice.justice.gov.uk" TargetMode="External"/><Relationship Id="rId26" Type="http://schemas.openxmlformats.org/officeDocument/2006/relationships/hyperlink" Target="mailto:London.skeletonarguments@administrativecourtoffice.justice.gov.uk" TargetMode="External"/><Relationship Id="rId3" Type="http://schemas.openxmlformats.org/officeDocument/2006/relationships/customXml" Target="../customXml/item3.xml"/><Relationship Id="rId21" Type="http://schemas.openxmlformats.org/officeDocument/2006/relationships/hyperlink" Target="http://courtoffice.justice.gov.uk/" TargetMode="External"/><Relationship Id="rId7" Type="http://schemas.openxmlformats.org/officeDocument/2006/relationships/settings" Target="settings.xml"/><Relationship Id="rId12" Type="http://schemas.openxmlformats.org/officeDocument/2006/relationships/hyperlink" Target="https://www.gov.uk/government/publications/pre-action-protocol-for-judicial-review" TargetMode="External"/><Relationship Id="rId17" Type="http://schemas.openxmlformats.org/officeDocument/2006/relationships/hyperlink" Target="mailto:immediates@administrativecourtoffice.justice.gov.uk" TargetMode="Externa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yperlink" Target="mailto:immediates@administrativecourtoffice.justice.gov.uk" TargetMode="External"/><Relationship Id="rId20" Type="http://schemas.openxmlformats.org/officeDocument/2006/relationships/hyperlink" Target="mailto:caseprgoression@adminsitrativecourtoffice.justice.gov.uk"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udiciary.uk/wp-content/uploads/2022/09/24.85_HMCTS_Administrative_Court_Guide_WEB1.pdf"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gov.uk/guidance/apply-for-a-judicial-review-in-an-immigration-or-asylum-case" TargetMode="External"/><Relationship Id="rId23" Type="http://schemas.openxmlformats.org/officeDocument/2006/relationships/hyperlink" Target="mailto:DutyClerkKB@justice.gov.uk"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courtoffice.justice.gov.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judiciary.uk/guidance-and-resources/lord-chief-justices-direction-regarding-the-transfer-of-immigration-and-asylum-judicial-review-cases-to-the-upper-tribunal-immigration-and-asylum-chamber/" TargetMode="External"/><Relationship Id="rId22" Type="http://schemas.openxmlformats.org/officeDocument/2006/relationships/hyperlink" Target="mailto:DUC@administrativecourtoffice.justice.gov.uk" TargetMode="External"/><Relationship Id="rId27" Type="http://schemas.openxmlformats.org/officeDocument/2006/relationships/hyperlink" Target="https://www.gov.uk/government/publications/form-ac014-skeleton-argument-template"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bailii.org/ew/cases/EWHC/Admin/2024/932.pdf" TargetMode="External"/><Relationship Id="rId3" Type="http://schemas.openxmlformats.org/officeDocument/2006/relationships/hyperlink" Target="https://www.judiciary.uk/guidance-and-resources/e-filing-pilot-goes-live/" TargetMode="External"/><Relationship Id="rId7" Type="http://schemas.openxmlformats.org/officeDocument/2006/relationships/hyperlink" Target="https://www.judiciary.uk/wp-content/uploads/2023/09/UTIAC-CE-file-and-e-bundle-guidance_September-2023-rev3-final-signed.pdf" TargetMode="External"/><Relationship Id="rId2" Type="http://schemas.openxmlformats.org/officeDocument/2006/relationships/hyperlink" Target="https://www.judiciary.uk/guidance-and-resources/administrative-court-information-for-court-users-june-2022/" TargetMode="External"/><Relationship Id="rId1" Type="http://schemas.openxmlformats.org/officeDocument/2006/relationships/hyperlink" Target="https://www.judiciary.uk/wp-content/uploads/2022/09/24.85_HMCTS_Administrative_Court_Guide_WEB1.pdf" TargetMode="External"/><Relationship Id="rId6" Type="http://schemas.openxmlformats.org/officeDocument/2006/relationships/hyperlink" Target="https://www.judiciary.uk/wp-content/uploads/2023/08/20230831-PD-CE-File-UT-IAC.pdf" TargetMode="External"/><Relationship Id="rId11" Type="http://schemas.openxmlformats.org/officeDocument/2006/relationships/hyperlink" Target="https://www.judiciary.uk/wp-content/uploads/2022/09/24.85_HMCTS_Administrative_Court_Guide_WEB1.pdf" TargetMode="External"/><Relationship Id="rId5" Type="http://schemas.openxmlformats.org/officeDocument/2006/relationships/hyperlink" Target="https://www.justice.gov.uk/courts/procedure-rules/civil/protocol/prot_jrv" TargetMode="External"/><Relationship Id="rId10" Type="http://schemas.openxmlformats.org/officeDocument/2006/relationships/hyperlink" Target="https://adminlaw.org.uk/wp-content/uploads/Document-Upload-Centre-user-guidance.pdf" TargetMode="External"/><Relationship Id="rId4" Type="http://schemas.openxmlformats.org/officeDocument/2006/relationships/hyperlink" Target="https://assets.publishing.service.gov.uk/media/5c5d9122e5274a316a7b7528/Clarification_on_Payment_for_Civil_Legal_Services_under_Regulation_5A_FINAL.pdf" TargetMode="External"/><Relationship Id="rId9" Type="http://schemas.openxmlformats.org/officeDocument/2006/relationships/hyperlink" Target="https://www.judiciary.uk/wp-content/uploads/2022/09/24.85_HMCTS_Administrative_Court_Guide_WEB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3b5e08-ba8c-4bd7-b20e-cbe7492a46ba">
      <Terms xmlns="http://schemas.microsoft.com/office/infopath/2007/PartnerControls"/>
    </lcf76f155ced4ddcb4097134ff3c332f>
    <TaxCatchAll xmlns="47bbf43c-25fc-4f07-bd62-31a705b9da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971894E759C54CA62FDFBAEA51422C" ma:contentTypeVersion="13" ma:contentTypeDescription="Create a new document." ma:contentTypeScope="" ma:versionID="d254bdd2b129dfb7c982dd1ac1501de0">
  <xsd:schema xmlns:xsd="http://www.w3.org/2001/XMLSchema" xmlns:xs="http://www.w3.org/2001/XMLSchema" xmlns:p="http://schemas.microsoft.com/office/2006/metadata/properties" xmlns:ns2="b23b5e08-ba8c-4bd7-b20e-cbe7492a46ba" xmlns:ns3="47bbf43c-25fc-4f07-bd62-31a705b9da0f" targetNamespace="http://schemas.microsoft.com/office/2006/metadata/properties" ma:root="true" ma:fieldsID="9f6664cc37d3d4fe6ff40156a9ea7036" ns2:_="" ns3:_="">
    <xsd:import namespace="b23b5e08-ba8c-4bd7-b20e-cbe7492a46ba"/>
    <xsd:import namespace="47bbf43c-25fc-4f07-bd62-31a705b9d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3b5e08-ba8c-4bd7-b20e-cbe7492a4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e5a3e9-c3e2-4c28-a279-a208435469e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bf43c-25fc-4f07-bd62-31a705b9d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f782e3-0666-4f55-ab28-479151f8830a}" ma:internalName="TaxCatchAll" ma:showField="CatchAllData" ma:web="47bbf43c-25fc-4f07-bd62-31a705b9da0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9A04A7-9274-49A0-872A-BF7056503D9C}">
  <ds:schemaRefs>
    <ds:schemaRef ds:uri="http://schemas.microsoft.com/office/2006/metadata/properties"/>
    <ds:schemaRef ds:uri="http://schemas.microsoft.com/office/infopath/2007/PartnerControls"/>
    <ds:schemaRef ds:uri="b23b5e08-ba8c-4bd7-b20e-cbe7492a46ba"/>
    <ds:schemaRef ds:uri="47bbf43c-25fc-4f07-bd62-31a705b9da0f"/>
  </ds:schemaRefs>
</ds:datastoreItem>
</file>

<file path=customXml/itemProps2.xml><?xml version="1.0" encoding="utf-8"?>
<ds:datastoreItem xmlns:ds="http://schemas.openxmlformats.org/officeDocument/2006/customXml" ds:itemID="{ED26F2B8-AF31-47E3-A818-A7A62370D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3b5e08-ba8c-4bd7-b20e-cbe7492a46ba"/>
    <ds:schemaRef ds:uri="47bbf43c-25fc-4f07-bd62-31a705b9d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0EE186-675C-4FD1-8F9B-4FBFC769C392}">
  <ds:schemaRefs>
    <ds:schemaRef ds:uri="http://schemas.openxmlformats.org/officeDocument/2006/bibliography"/>
  </ds:schemaRefs>
</ds:datastoreItem>
</file>

<file path=customXml/itemProps4.xml><?xml version="1.0" encoding="utf-8"?>
<ds:datastoreItem xmlns:ds="http://schemas.openxmlformats.org/officeDocument/2006/customXml" ds:itemID="{12E58189-BB5B-46FC-B707-3AABD48FEB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16902</Words>
  <Characters>101078</Characters>
  <Application>Microsoft Office Word</Application>
  <DocSecurity>0</DocSecurity>
  <Lines>4813</Lines>
  <Paragraphs>3277</Paragraphs>
  <ScaleCrop>false</ScaleCrop>
  <Company/>
  <LinksUpToDate>false</LinksUpToDate>
  <CharactersWithSpaces>114703</CharactersWithSpaces>
  <SharedDoc>false</SharedDoc>
  <HLinks>
    <vt:vector size="156" baseType="variant">
      <vt:variant>
        <vt:i4>6094861</vt:i4>
      </vt:variant>
      <vt:variant>
        <vt:i4>45</vt:i4>
      </vt:variant>
      <vt:variant>
        <vt:i4>0</vt:i4>
      </vt:variant>
      <vt:variant>
        <vt:i4>5</vt:i4>
      </vt:variant>
      <vt:variant>
        <vt:lpwstr>https://www.gov.uk/government/publications/form-ac014-skeleton-argument-template</vt:lpwstr>
      </vt:variant>
      <vt:variant>
        <vt:lpwstr/>
      </vt:variant>
      <vt:variant>
        <vt:i4>2621533</vt:i4>
      </vt:variant>
      <vt:variant>
        <vt:i4>42</vt:i4>
      </vt:variant>
      <vt:variant>
        <vt:i4>0</vt:i4>
      </vt:variant>
      <vt:variant>
        <vt:i4>5</vt:i4>
      </vt:variant>
      <vt:variant>
        <vt:lpwstr>mailto:London.skeletonarguments@administrativecourtoffice.justice.gov.uk</vt:lpwstr>
      </vt:variant>
      <vt:variant>
        <vt:lpwstr/>
      </vt:variant>
      <vt:variant>
        <vt:i4>786558</vt:i4>
      </vt:variant>
      <vt:variant>
        <vt:i4>36</vt:i4>
      </vt:variant>
      <vt:variant>
        <vt:i4>0</vt:i4>
      </vt:variant>
      <vt:variant>
        <vt:i4>5</vt:i4>
      </vt:variant>
      <vt:variant>
        <vt:lpwstr>mailto:DutyClerkKB@justice.gov.uk</vt:lpwstr>
      </vt:variant>
      <vt:variant>
        <vt:lpwstr/>
      </vt:variant>
      <vt:variant>
        <vt:i4>8192086</vt:i4>
      </vt:variant>
      <vt:variant>
        <vt:i4>33</vt:i4>
      </vt:variant>
      <vt:variant>
        <vt:i4>0</vt:i4>
      </vt:variant>
      <vt:variant>
        <vt:i4>5</vt:i4>
      </vt:variant>
      <vt:variant>
        <vt:lpwstr>mailto:DUC@administrativecourtoffice.justice.gov.uk</vt:lpwstr>
      </vt:variant>
      <vt:variant>
        <vt:lpwstr/>
      </vt:variant>
      <vt:variant>
        <vt:i4>8192054</vt:i4>
      </vt:variant>
      <vt:variant>
        <vt:i4>30</vt:i4>
      </vt:variant>
      <vt:variant>
        <vt:i4>0</vt:i4>
      </vt:variant>
      <vt:variant>
        <vt:i4>5</vt:i4>
      </vt:variant>
      <vt:variant>
        <vt:lpwstr>http://courtoffice.justice.gov.uk/</vt:lpwstr>
      </vt:variant>
      <vt:variant>
        <vt:lpwstr/>
      </vt:variant>
      <vt:variant>
        <vt:i4>6357081</vt:i4>
      </vt:variant>
      <vt:variant>
        <vt:i4>27</vt:i4>
      </vt:variant>
      <vt:variant>
        <vt:i4>0</vt:i4>
      </vt:variant>
      <vt:variant>
        <vt:i4>5</vt:i4>
      </vt:variant>
      <vt:variant>
        <vt:lpwstr>mailto:caseprgoression@adminsitrativecourtoffice.justice.gov.uk</vt:lpwstr>
      </vt:variant>
      <vt:variant>
        <vt:lpwstr/>
      </vt:variant>
      <vt:variant>
        <vt:i4>8192054</vt:i4>
      </vt:variant>
      <vt:variant>
        <vt:i4>24</vt:i4>
      </vt:variant>
      <vt:variant>
        <vt:i4>0</vt:i4>
      </vt:variant>
      <vt:variant>
        <vt:i4>5</vt:i4>
      </vt:variant>
      <vt:variant>
        <vt:lpwstr>http://courtoffice.justice.gov.uk/</vt:lpwstr>
      </vt:variant>
      <vt:variant>
        <vt:lpwstr/>
      </vt:variant>
      <vt:variant>
        <vt:i4>8192086</vt:i4>
      </vt:variant>
      <vt:variant>
        <vt:i4>21</vt:i4>
      </vt:variant>
      <vt:variant>
        <vt:i4>0</vt:i4>
      </vt:variant>
      <vt:variant>
        <vt:i4>5</vt:i4>
      </vt:variant>
      <vt:variant>
        <vt:lpwstr>mailto:DUC@administrativecourtoffice.justice.gov.uk</vt:lpwstr>
      </vt:variant>
      <vt:variant>
        <vt:lpwstr/>
      </vt:variant>
      <vt:variant>
        <vt:i4>262196</vt:i4>
      </vt:variant>
      <vt:variant>
        <vt:i4>18</vt:i4>
      </vt:variant>
      <vt:variant>
        <vt:i4>0</vt:i4>
      </vt:variant>
      <vt:variant>
        <vt:i4>5</vt:i4>
      </vt:variant>
      <vt:variant>
        <vt:lpwstr>mailto:immediates@administrativecourtoffice.justice.gov.uk</vt:lpwstr>
      </vt:variant>
      <vt:variant>
        <vt:lpwstr/>
      </vt:variant>
      <vt:variant>
        <vt:i4>262196</vt:i4>
      </vt:variant>
      <vt:variant>
        <vt:i4>15</vt:i4>
      </vt:variant>
      <vt:variant>
        <vt:i4>0</vt:i4>
      </vt:variant>
      <vt:variant>
        <vt:i4>5</vt:i4>
      </vt:variant>
      <vt:variant>
        <vt:lpwstr>mailto:immediates@administrativecourtoffice.justice.gov.uk</vt:lpwstr>
      </vt:variant>
      <vt:variant>
        <vt:lpwstr/>
      </vt:variant>
      <vt:variant>
        <vt:i4>3801195</vt:i4>
      </vt:variant>
      <vt:variant>
        <vt:i4>12</vt:i4>
      </vt:variant>
      <vt:variant>
        <vt:i4>0</vt:i4>
      </vt:variant>
      <vt:variant>
        <vt:i4>5</vt:i4>
      </vt:variant>
      <vt:variant>
        <vt:lpwstr>https://www.gov.uk/guidance/apply-for-a-judicial-review-in-an-immigration-or-asylum-case</vt:lpwstr>
      </vt:variant>
      <vt:variant>
        <vt:lpwstr>list-of-all-utiac-forms</vt:lpwstr>
      </vt:variant>
      <vt:variant>
        <vt:i4>6422566</vt:i4>
      </vt:variant>
      <vt:variant>
        <vt:i4>9</vt:i4>
      </vt:variant>
      <vt:variant>
        <vt:i4>0</vt:i4>
      </vt:variant>
      <vt:variant>
        <vt:i4>5</vt:i4>
      </vt:variant>
      <vt:variant>
        <vt:lpwstr>https://www.judiciary.uk/guidance-and-resources/lord-chief-justices-direction-regarding-the-transfer-of-immigration-and-asylum-judicial-review-cases-to-the-upper-tribunal-immigration-and-asylum-chamber/</vt:lpwstr>
      </vt:variant>
      <vt:variant>
        <vt:lpwstr/>
      </vt:variant>
      <vt:variant>
        <vt:i4>3801215</vt:i4>
      </vt:variant>
      <vt:variant>
        <vt:i4>6</vt:i4>
      </vt:variant>
      <vt:variant>
        <vt:i4>0</vt:i4>
      </vt:variant>
      <vt:variant>
        <vt:i4>5</vt:i4>
      </vt:variant>
      <vt:variant>
        <vt:lpwstr>https://www.gov.uk/government/publications/pre-action-protocol-for-judicial-review</vt:lpwstr>
      </vt:variant>
      <vt:variant>
        <vt:lpwstr/>
      </vt:variant>
      <vt:variant>
        <vt:i4>3801215</vt:i4>
      </vt:variant>
      <vt:variant>
        <vt:i4>3</vt:i4>
      </vt:variant>
      <vt:variant>
        <vt:i4>0</vt:i4>
      </vt:variant>
      <vt:variant>
        <vt:i4>5</vt:i4>
      </vt:variant>
      <vt:variant>
        <vt:lpwstr>https://www.gov.uk/government/publications/pre-action-protocol-for-judicial-review</vt:lpwstr>
      </vt:variant>
      <vt:variant>
        <vt:lpwstr/>
      </vt:variant>
      <vt:variant>
        <vt:i4>8192089</vt:i4>
      </vt:variant>
      <vt:variant>
        <vt:i4>0</vt:i4>
      </vt:variant>
      <vt:variant>
        <vt:i4>0</vt:i4>
      </vt:variant>
      <vt:variant>
        <vt:i4>5</vt:i4>
      </vt:variant>
      <vt:variant>
        <vt:lpwstr>https://www.judiciary.uk/wp-content/uploads/2022/09/24.85_HMCTS_Administrative_Court_Guide_WEB1.pdf</vt:lpwstr>
      </vt:variant>
      <vt:variant>
        <vt:lpwstr/>
      </vt:variant>
      <vt:variant>
        <vt:i4>7667827</vt:i4>
      </vt:variant>
      <vt:variant>
        <vt:i4>24</vt:i4>
      </vt:variant>
      <vt:variant>
        <vt:i4>0</vt:i4>
      </vt:variant>
      <vt:variant>
        <vt:i4>5</vt:i4>
      </vt:variant>
      <vt:variant>
        <vt:lpwstr>https://adminlaw.org.uk/wp-content/uploads/Document-Upload-Centre-user-guidance.pdf</vt:lpwstr>
      </vt:variant>
      <vt:variant>
        <vt:lpwstr/>
      </vt:variant>
      <vt:variant>
        <vt:i4>6619194</vt:i4>
      </vt:variant>
      <vt:variant>
        <vt:i4>21</vt:i4>
      </vt:variant>
      <vt:variant>
        <vt:i4>0</vt:i4>
      </vt:variant>
      <vt:variant>
        <vt:i4>5</vt:i4>
      </vt:variant>
      <vt:variant>
        <vt:lpwstr>https://www.bailii.org/ew/cases/EWHC/Admin/2024/932.pdf</vt:lpwstr>
      </vt:variant>
      <vt:variant>
        <vt:lpwstr/>
      </vt:variant>
      <vt:variant>
        <vt:i4>4128838</vt:i4>
      </vt:variant>
      <vt:variant>
        <vt:i4>18</vt:i4>
      </vt:variant>
      <vt:variant>
        <vt:i4>0</vt:i4>
      </vt:variant>
      <vt:variant>
        <vt:i4>5</vt:i4>
      </vt:variant>
      <vt:variant>
        <vt:lpwstr>https://www.judiciary.uk/wp-content/uploads/2023/09/UTIAC-CE-file-and-e-bundle-guidance_September-2023-rev3-final-signed.pdf</vt:lpwstr>
      </vt:variant>
      <vt:variant>
        <vt:lpwstr/>
      </vt:variant>
      <vt:variant>
        <vt:i4>4128868</vt:i4>
      </vt:variant>
      <vt:variant>
        <vt:i4>15</vt:i4>
      </vt:variant>
      <vt:variant>
        <vt:i4>0</vt:i4>
      </vt:variant>
      <vt:variant>
        <vt:i4>5</vt:i4>
      </vt:variant>
      <vt:variant>
        <vt:lpwstr>https://www.judiciary.uk/wp-content/uploads/2023/08/20230831-PD-CE-File-UT-IAC.pdf</vt:lpwstr>
      </vt:variant>
      <vt:variant>
        <vt:lpwstr/>
      </vt:variant>
      <vt:variant>
        <vt:i4>6422610</vt:i4>
      </vt:variant>
      <vt:variant>
        <vt:i4>12</vt:i4>
      </vt:variant>
      <vt:variant>
        <vt:i4>0</vt:i4>
      </vt:variant>
      <vt:variant>
        <vt:i4>5</vt:i4>
      </vt:variant>
      <vt:variant>
        <vt:lpwstr>https://www.justice.gov.uk/courts/procedure-rules/civil/protocol/prot_jrv</vt:lpwstr>
      </vt:variant>
      <vt:variant>
        <vt:lpwstr/>
      </vt:variant>
      <vt:variant>
        <vt:i4>3145764</vt:i4>
      </vt:variant>
      <vt:variant>
        <vt:i4>9</vt:i4>
      </vt:variant>
      <vt:variant>
        <vt:i4>0</vt:i4>
      </vt:variant>
      <vt:variant>
        <vt:i4>5</vt:i4>
      </vt:variant>
      <vt:variant>
        <vt:lpwstr>https://assets.publishing.service.gov.uk/media/5c5d9122e5274a316a7b7528/Clarification_on_Payment_for_Civil_Legal_Services_under_Regulation_5A_FINAL.pdf</vt:lpwstr>
      </vt:variant>
      <vt:variant>
        <vt:lpwstr/>
      </vt:variant>
      <vt:variant>
        <vt:i4>5963797</vt:i4>
      </vt:variant>
      <vt:variant>
        <vt:i4>6</vt:i4>
      </vt:variant>
      <vt:variant>
        <vt:i4>0</vt:i4>
      </vt:variant>
      <vt:variant>
        <vt:i4>5</vt:i4>
      </vt:variant>
      <vt:variant>
        <vt:lpwstr>https://www.judiciary.uk/guidance-and-resources/e-filing-pilot-goes-live/</vt:lpwstr>
      </vt:variant>
      <vt:variant>
        <vt:lpwstr/>
      </vt:variant>
      <vt:variant>
        <vt:i4>2818074</vt:i4>
      </vt:variant>
      <vt:variant>
        <vt:i4>3</vt:i4>
      </vt:variant>
      <vt:variant>
        <vt:i4>0</vt:i4>
      </vt:variant>
      <vt:variant>
        <vt:i4>5</vt:i4>
      </vt:variant>
      <vt:variant>
        <vt:lpwstr>https://www.judiciary.uk/guidance-and-resources/administrative-court-information-for-court-users-june-2022/</vt:lpwstr>
      </vt:variant>
      <vt:variant>
        <vt:lpwstr>related_content</vt:lpwstr>
      </vt:variant>
      <vt:variant>
        <vt:i4>393246</vt:i4>
      </vt:variant>
      <vt:variant>
        <vt:i4>0</vt:i4>
      </vt:variant>
      <vt:variant>
        <vt:i4>0</vt:i4>
      </vt:variant>
      <vt:variant>
        <vt:i4>5</vt:i4>
      </vt:variant>
      <vt:variant>
        <vt:lpwstr>https://www.judiciary.uk/wp-content/uploads/2022/07/Administrative-Court-Information-for-Court-Users-041023-1.pdf</vt:lpwstr>
      </vt:variant>
      <vt:variant>
        <vt:lpwstr/>
      </vt:variant>
      <vt:variant>
        <vt:i4>4259851</vt:i4>
      </vt:variant>
      <vt:variant>
        <vt:i4>3</vt:i4>
      </vt:variant>
      <vt:variant>
        <vt:i4>0</vt:i4>
      </vt:variant>
      <vt:variant>
        <vt:i4>5</vt:i4>
      </vt:variant>
      <vt:variant>
        <vt:lpwstr>https://www.refworld.org/jurisprudence/caselaw/gbrcaciv/2010/en/76463</vt:lpwstr>
      </vt:variant>
      <vt:variant>
        <vt:lpwstr/>
      </vt:variant>
      <vt:variant>
        <vt:i4>6160462</vt:i4>
      </vt:variant>
      <vt:variant>
        <vt:i4>0</vt:i4>
      </vt:variant>
      <vt:variant>
        <vt:i4>0</vt:i4>
      </vt:variant>
      <vt:variant>
        <vt:i4>5</vt:i4>
      </vt:variant>
      <vt:variant>
        <vt:lpwstr>https://www.refworld.org/jurisprudence/caselaw/gbrhcqb/2009/en/70374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Godfrey</dc:creator>
  <cp:keywords/>
  <dc:description/>
  <cp:lastModifiedBy>Nicole Chen</cp:lastModifiedBy>
  <cp:revision>9</cp:revision>
  <dcterms:created xsi:type="dcterms:W3CDTF">2025-03-21T16:50:00Z</dcterms:created>
  <dcterms:modified xsi:type="dcterms:W3CDTF">2026-04-10T09:47:00Z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0x010100B8971894E759C54CA62FDFBAEA51422C</vt:lpwstr>
  </property>
  <property fmtid="{D5CDD505-2E9C-101B-9397-08002B2CF9AE}" pid="3" name="MediaServiceImageTags">
    <vt:lpwstr/>
  </property>
</Properties>
</file>